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14" w:type="dxa"/>
        <w:tblInd w:w="-144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06"/>
        <w:gridCol w:w="657"/>
        <w:gridCol w:w="4651"/>
      </w:tblGrid>
      <w:tr w:rsidR="00597ADC" w:rsidTr="00012E04">
        <w:trPr>
          <w:trHeight w:hRule="exact" w:val="382"/>
        </w:trPr>
        <w:tc>
          <w:tcPr>
            <w:tcW w:w="5306" w:type="dxa"/>
            <w:vAlign w:val="center"/>
          </w:tcPr>
          <w:p w:rsidR="00597ADC" w:rsidRDefault="00597ADC">
            <w:pPr>
              <w:pStyle w:val="m-BlocTitre"/>
            </w:pPr>
          </w:p>
        </w:tc>
        <w:tc>
          <w:tcPr>
            <w:tcW w:w="5308" w:type="dxa"/>
            <w:gridSpan w:val="2"/>
            <w:vAlign w:val="center"/>
          </w:tcPr>
          <w:p w:rsidR="00597ADC" w:rsidRDefault="00F213AE">
            <w:pPr>
              <w:pStyle w:val="m-BlocTitre"/>
            </w:pPr>
            <w:r>
              <w:t>Secrétariat général</w:t>
            </w:r>
          </w:p>
          <w:p w:rsidR="00597ADC" w:rsidRDefault="00597ADC">
            <w:pPr>
              <w:pStyle w:val="m-BlocTitre"/>
            </w:pPr>
          </w:p>
          <w:p w:rsidR="00597ADC" w:rsidRDefault="00597ADC">
            <w:pPr>
              <w:pStyle w:val="m-BlocTitre"/>
            </w:pPr>
          </w:p>
          <w:p w:rsidR="00597ADC" w:rsidRDefault="00597ADC">
            <w:pPr>
              <w:pStyle w:val="m-BlocTitre"/>
            </w:pPr>
          </w:p>
        </w:tc>
      </w:tr>
      <w:tr w:rsidR="00597ADC">
        <w:trPr>
          <w:trHeight w:hRule="exact" w:val="697"/>
        </w:trPr>
        <w:tc>
          <w:tcPr>
            <w:tcW w:w="596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ADC" w:rsidRDefault="00597ADC">
            <w:pPr>
              <w:pStyle w:val="m-BlocEntete"/>
            </w:pPr>
          </w:p>
          <w:p w:rsidR="00597ADC" w:rsidRDefault="00597ADC">
            <w:pPr>
              <w:pStyle w:val="m-BlocEntete"/>
            </w:pPr>
          </w:p>
          <w:p w:rsidR="00597ADC" w:rsidRDefault="00597ADC">
            <w:pPr>
              <w:pStyle w:val="m-BlocEntete"/>
            </w:pPr>
          </w:p>
        </w:tc>
        <w:tc>
          <w:tcPr>
            <w:tcW w:w="46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ADC" w:rsidRDefault="00597ADC">
            <w:pPr>
              <w:pStyle w:val="m-BlocEntete"/>
            </w:pPr>
          </w:p>
          <w:p w:rsidR="00597ADC" w:rsidRDefault="00597ADC">
            <w:pPr>
              <w:pStyle w:val="m-BlocDate"/>
            </w:pPr>
          </w:p>
        </w:tc>
      </w:tr>
      <w:tr w:rsidR="00597ADC">
        <w:trPr>
          <w:trHeight w:hRule="exact" w:val="213"/>
        </w:trPr>
        <w:tc>
          <w:tcPr>
            <w:tcW w:w="596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ADC" w:rsidRDefault="00597ADC">
            <w:pPr>
              <w:pStyle w:val="m-BlocEntete"/>
              <w:snapToGrid w:val="0"/>
            </w:pPr>
          </w:p>
        </w:tc>
        <w:tc>
          <w:tcPr>
            <w:tcW w:w="46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ADC" w:rsidRDefault="00597ADC">
            <w:pPr>
              <w:snapToGrid w:val="0"/>
            </w:pPr>
          </w:p>
        </w:tc>
      </w:tr>
      <w:tr w:rsidR="00597ADC">
        <w:trPr>
          <w:trHeight w:val="1470"/>
        </w:trPr>
        <w:tc>
          <w:tcPr>
            <w:tcW w:w="596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ADC" w:rsidRDefault="00F213AE">
            <w:pPr>
              <w:pStyle w:val="m-BlocEmetteur"/>
              <w:spacing w:after="91"/>
            </w:pPr>
            <w:r>
              <w:t>Direction des affaires financières</w:t>
            </w:r>
          </w:p>
          <w:p w:rsidR="00597ADC" w:rsidRDefault="00F213AE">
            <w:pPr>
              <w:pStyle w:val="m-BlocEmetteur2"/>
            </w:pPr>
            <w:r>
              <w:t>Service des achats et du soutien</w:t>
            </w:r>
          </w:p>
          <w:p w:rsidR="00CF2CE7" w:rsidRDefault="00F213AE" w:rsidP="00CF2CE7">
            <w:pPr>
              <w:pStyle w:val="Service"/>
              <w:rPr>
                <w:rFonts w:ascii="Arial" w:hAnsi="Arial" w:cs="Arial"/>
                <w:sz w:val="20"/>
                <w:lang w:eastAsia="zh-CN" w:bidi="ar-SA"/>
              </w:rPr>
            </w:pPr>
            <w:r w:rsidRPr="00CF2CE7">
              <w:rPr>
                <w:rFonts w:ascii="Arial" w:hAnsi="Arial" w:cs="Arial"/>
                <w:sz w:val="20"/>
                <w:lang w:eastAsia="zh-CN" w:bidi="ar-SA"/>
              </w:rPr>
              <w:t>Sous-direction de l’environnement de travail</w:t>
            </w:r>
          </w:p>
          <w:p w:rsidR="00CF2CE7" w:rsidRPr="00CF2CE7" w:rsidRDefault="00CF2CE7" w:rsidP="00CF2CE7">
            <w:pPr>
              <w:pStyle w:val="Service"/>
              <w:rPr>
                <w:rFonts w:ascii="Arial" w:hAnsi="Arial" w:cs="Arial"/>
                <w:sz w:val="20"/>
                <w:lang w:eastAsia="zh-CN" w:bidi="ar-SA"/>
              </w:rPr>
            </w:pPr>
            <w:r w:rsidRPr="00CF2CE7">
              <w:rPr>
                <w:rFonts w:ascii="Arial" w:hAnsi="Arial" w:cs="Arial"/>
                <w:sz w:val="20"/>
                <w:lang w:eastAsia="zh-CN" w:bidi="ar-SA"/>
              </w:rPr>
              <w:t xml:space="preserve"> </w:t>
            </w:r>
            <w:proofErr w:type="gramStart"/>
            <w:r w:rsidRPr="00CF2CE7">
              <w:rPr>
                <w:rFonts w:ascii="Arial" w:hAnsi="Arial" w:cs="Arial"/>
                <w:sz w:val="20"/>
                <w:lang w:eastAsia="zh-CN" w:bidi="ar-SA"/>
              </w:rPr>
              <w:t>et</w:t>
            </w:r>
            <w:proofErr w:type="gramEnd"/>
            <w:r w:rsidRPr="00CF2CE7">
              <w:rPr>
                <w:rFonts w:ascii="Arial" w:hAnsi="Arial" w:cs="Arial"/>
                <w:sz w:val="20"/>
                <w:lang w:eastAsia="zh-CN" w:bidi="ar-SA"/>
              </w:rPr>
              <w:t xml:space="preserve"> de l'immobilier opérationnel</w:t>
            </w:r>
          </w:p>
          <w:p w:rsidR="00597ADC" w:rsidRDefault="00F213AE">
            <w:pPr>
              <w:pStyle w:val="m-BlocEmetteur2"/>
            </w:pPr>
            <w:r>
              <w:t>Bureau de l’accueil et du cadre de vie</w:t>
            </w:r>
          </w:p>
        </w:tc>
        <w:tc>
          <w:tcPr>
            <w:tcW w:w="46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ADC" w:rsidRDefault="00597ADC">
            <w:pPr>
              <w:pStyle w:val="m-BlocDestinataire"/>
              <w:ind w:left="0"/>
            </w:pPr>
          </w:p>
        </w:tc>
      </w:tr>
    </w:tbl>
    <w:p w:rsidR="00597ADC" w:rsidRDefault="00012E04">
      <w:pPr>
        <w:jc w:val="center"/>
        <w:rPr>
          <w:rFonts w:ascii="Arial" w:hAnsi="Arial"/>
          <w:b/>
          <w:sz w:val="28"/>
          <w:szCs w:val="28"/>
        </w:rPr>
      </w:pPr>
      <w:r>
        <w:rPr>
          <w:noProof/>
          <w:lang w:eastAsia="fr-FR"/>
        </w:rPr>
        <w:drawing>
          <wp:anchor distT="0" distB="0" distL="0" distR="0" simplePos="0" relativeHeight="6" behindDoc="0" locked="0" layoutInCell="0" allowOverlap="1" wp14:editId="02DBBFF4">
            <wp:simplePos x="0" y="0"/>
            <wp:positionH relativeFrom="page">
              <wp:posOffset>587375</wp:posOffset>
            </wp:positionH>
            <wp:positionV relativeFrom="margin">
              <wp:align>top</wp:align>
            </wp:positionV>
            <wp:extent cx="1554480" cy="1410335"/>
            <wp:effectExtent l="0" t="0" r="7620" b="0"/>
            <wp:wrapSquare wrapText="bothSides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1410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F19B3" w:rsidRDefault="00F213AE">
      <w:pP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LES MINISTÈRES DE L’AMÉNAGEMENT DU TERRITOIRE </w:t>
      </w:r>
    </w:p>
    <w:p w:rsidR="00597ADC" w:rsidRDefault="00F213AE">
      <w:pPr>
        <w:jc w:val="center"/>
      </w:pPr>
      <w:r>
        <w:rPr>
          <w:rFonts w:ascii="Arial" w:hAnsi="Arial"/>
          <w:b/>
          <w:sz w:val="28"/>
          <w:szCs w:val="28"/>
        </w:rPr>
        <w:t>ET DE LA TRANSITION ÉCOLOGIQUE</w:t>
      </w:r>
    </w:p>
    <w:p w:rsidR="00597ADC" w:rsidRDefault="00597ADC">
      <w:pPr>
        <w:jc w:val="center"/>
        <w:rPr>
          <w:rFonts w:ascii="Arial" w:hAnsi="Arial"/>
          <w:b/>
          <w:sz w:val="22"/>
        </w:rPr>
      </w:pPr>
    </w:p>
    <w:p w:rsidR="00597ADC" w:rsidRDefault="00F213AE">
      <w:pPr>
        <w:jc w:val="center"/>
        <w:rPr>
          <w:rFonts w:ascii="Arial" w:hAnsi="Arial"/>
          <w:sz w:val="28"/>
        </w:rPr>
      </w:pPr>
      <w:bookmarkStart w:id="0" w:name="_GoBack"/>
      <w:bookmarkEnd w:id="0"/>
      <w:r>
        <w:rPr>
          <w:rFonts w:ascii="Arial" w:hAnsi="Arial"/>
          <w:sz w:val="28"/>
        </w:rPr>
        <w:t>ANNEXE 2 AU CCTP</w:t>
      </w:r>
    </w:p>
    <w:p w:rsidR="00597ADC" w:rsidRDefault="00597ADC">
      <w:pPr>
        <w:jc w:val="center"/>
        <w:rPr>
          <w:rFonts w:ascii="Arial" w:hAnsi="Arial"/>
          <w:sz w:val="28"/>
        </w:rPr>
      </w:pPr>
    </w:p>
    <w:p w:rsidR="00597ADC" w:rsidRDefault="00F213AE">
      <w:pPr>
        <w:jc w:val="center"/>
        <w:rPr>
          <w:rFonts w:ascii="LiberationSans;Bold" w:hAnsi="LiberationSans;Bold"/>
          <w:b/>
          <w:sz w:val="22"/>
        </w:rPr>
      </w:pPr>
      <w:r>
        <w:rPr>
          <w:rFonts w:ascii="LiberationSans;Bold" w:hAnsi="LiberationSans;Bold"/>
          <w:b/>
          <w:sz w:val="22"/>
        </w:rPr>
        <w:t>DÉFINITION DES ZONES</w:t>
      </w:r>
    </w:p>
    <w:p w:rsidR="00597ADC" w:rsidRDefault="00597ADC">
      <w:pPr>
        <w:jc w:val="center"/>
      </w:pPr>
    </w:p>
    <w:p w:rsidR="00597ADC" w:rsidRDefault="00597ADC">
      <w:pPr>
        <w:jc w:val="center"/>
      </w:pPr>
    </w:p>
    <w:p w:rsidR="00597ADC" w:rsidRDefault="00F213AE">
      <w:pPr>
        <w:jc w:val="left"/>
        <w:rPr>
          <w:rFonts w:ascii="LiberationSans;Bold" w:hAnsi="LiberationSans;Bold"/>
          <w:b/>
          <w:sz w:val="22"/>
        </w:rPr>
      </w:pPr>
      <w:r>
        <w:rPr>
          <w:rFonts w:ascii="LiberationSans;Bold" w:hAnsi="LiberationSans;Bold"/>
          <w:b/>
          <w:sz w:val="22"/>
        </w:rPr>
        <w:t>Zone 1 : "Accueil et zones attenantes (rampes, perron, …) et accès"</w:t>
      </w:r>
    </w:p>
    <w:p w:rsidR="00597ADC" w:rsidRDefault="00597ADC">
      <w:pPr>
        <w:jc w:val="left"/>
        <w:rPr>
          <w:rFonts w:ascii="LiberationSans;Bold" w:hAnsi="LiberationSans;Bold"/>
          <w:b/>
          <w:sz w:val="22"/>
        </w:rPr>
      </w:pPr>
    </w:p>
    <w:p w:rsidR="00597ADC" w:rsidRDefault="00F213AE">
      <w:pPr>
        <w:numPr>
          <w:ilvl w:val="0"/>
          <w:numId w:val="4"/>
        </w:numPr>
        <w:jc w:val="left"/>
        <w:rPr>
          <w:rFonts w:ascii="LiberationSans" w:hAnsi="LiberationSans"/>
          <w:sz w:val="22"/>
        </w:rPr>
      </w:pPr>
      <w:r>
        <w:rPr>
          <w:rFonts w:ascii="LiberationSans" w:hAnsi="LiberationSans"/>
          <w:sz w:val="22"/>
        </w:rPr>
        <w:t>Zone se situant à l’entrée du bâtiment</w:t>
      </w:r>
    </w:p>
    <w:p w:rsidR="00597ADC" w:rsidRDefault="00F213AE">
      <w:pPr>
        <w:numPr>
          <w:ilvl w:val="0"/>
          <w:numId w:val="5"/>
        </w:numPr>
        <w:tabs>
          <w:tab w:val="left" w:pos="-1488"/>
        </w:tabs>
        <w:jc w:val="left"/>
      </w:pPr>
      <w:r>
        <w:rPr>
          <w:rFonts w:ascii="LiberationSans" w:hAnsi="LiberationSans"/>
          <w:sz w:val="22"/>
        </w:rPr>
        <w:t>Comprend essentiellement les espaces accueillant du public tels que : les halls d'entrée, sas d’entrée, salles d'attente, banques d’accueil, portiques de contrôle d’accès, vitreries intérieures, portes tournantes et signalétiques.</w:t>
      </w:r>
    </w:p>
    <w:p w:rsidR="00597ADC" w:rsidRDefault="00597ADC">
      <w:pPr>
        <w:tabs>
          <w:tab w:val="left" w:pos="672"/>
        </w:tabs>
        <w:jc w:val="left"/>
        <w:rPr>
          <w:rFonts w:ascii="LiberationSans" w:hAnsi="LiberationSans"/>
          <w:sz w:val="22"/>
        </w:rPr>
      </w:pPr>
    </w:p>
    <w:p w:rsidR="00597ADC" w:rsidRDefault="00F213AE">
      <w:pPr>
        <w:jc w:val="left"/>
        <w:rPr>
          <w:rFonts w:ascii="LiberationSans;Bold" w:hAnsi="LiberationSans;Bold"/>
          <w:b/>
          <w:sz w:val="22"/>
        </w:rPr>
      </w:pPr>
      <w:r>
        <w:rPr>
          <w:rFonts w:ascii="LiberationSans;Bold" w:hAnsi="LiberationSans;Bold"/>
          <w:b/>
          <w:sz w:val="22"/>
        </w:rPr>
        <w:t>Zone 2 : "Sanitaires et locaux spécifiques"</w:t>
      </w:r>
    </w:p>
    <w:p w:rsidR="00597ADC" w:rsidRDefault="00597ADC">
      <w:pPr>
        <w:jc w:val="left"/>
        <w:rPr>
          <w:rFonts w:ascii="LiberationSans;Bold" w:hAnsi="LiberationSans;Bold"/>
          <w:b/>
          <w:sz w:val="22"/>
        </w:rPr>
      </w:pPr>
    </w:p>
    <w:p w:rsidR="00597ADC" w:rsidRDefault="00F213AE" w:rsidP="006F19B3">
      <w:pPr>
        <w:numPr>
          <w:ilvl w:val="0"/>
          <w:numId w:val="6"/>
        </w:numPr>
      </w:pPr>
      <w:r>
        <w:rPr>
          <w:rFonts w:ascii="LiberationSans" w:hAnsi="LiberationSans"/>
          <w:sz w:val="22"/>
        </w:rPr>
        <w:t xml:space="preserve">Comprend tous les espaces sanitaires, espaces douches et vestiaires éventuels, la </w:t>
      </w:r>
      <w:proofErr w:type="spellStart"/>
      <w:r>
        <w:rPr>
          <w:rFonts w:ascii="LiberationSans" w:hAnsi="LiberationSans"/>
          <w:sz w:val="22"/>
        </w:rPr>
        <w:t>bibonnerie</w:t>
      </w:r>
      <w:proofErr w:type="spellEnd"/>
      <w:r>
        <w:rPr>
          <w:rFonts w:ascii="LiberationSans" w:hAnsi="LiberationSans"/>
          <w:sz w:val="22"/>
        </w:rPr>
        <w:t xml:space="preserve"> ainsi que les salles de consultation des cabinets médicaux (cette liste est non exhaustive)</w:t>
      </w:r>
    </w:p>
    <w:p w:rsidR="00597ADC" w:rsidRDefault="00597ADC">
      <w:pPr>
        <w:jc w:val="left"/>
        <w:rPr>
          <w:rFonts w:ascii="LiberationSans" w:hAnsi="LiberationSans"/>
          <w:sz w:val="22"/>
        </w:rPr>
      </w:pPr>
    </w:p>
    <w:p w:rsidR="00597ADC" w:rsidRDefault="00F213AE">
      <w:pPr>
        <w:ind w:left="900" w:hanging="900"/>
        <w:jc w:val="left"/>
      </w:pPr>
      <w:r>
        <w:rPr>
          <w:rFonts w:ascii="LiberationSans;Bold" w:hAnsi="LiberationSans;Bold"/>
          <w:b/>
          <w:sz w:val="22"/>
        </w:rPr>
        <w:t>Zone 3 : "Espaces repas (salle de restauration, coin repas), Espaces détente (salle de pause, tisanerie)"</w:t>
      </w:r>
    </w:p>
    <w:p w:rsidR="00597ADC" w:rsidRDefault="00597ADC">
      <w:pPr>
        <w:jc w:val="left"/>
        <w:rPr>
          <w:rFonts w:ascii="LiberationSans;Bold" w:hAnsi="LiberationSans;Bold"/>
          <w:b/>
          <w:sz w:val="22"/>
        </w:rPr>
      </w:pPr>
    </w:p>
    <w:p w:rsidR="00597ADC" w:rsidRDefault="00F213AE">
      <w:pPr>
        <w:numPr>
          <w:ilvl w:val="0"/>
          <w:numId w:val="7"/>
        </w:numPr>
        <w:jc w:val="left"/>
      </w:pPr>
      <w:r>
        <w:rPr>
          <w:rFonts w:ascii="LiberationSans" w:hAnsi="LiberationSans"/>
          <w:sz w:val="22"/>
        </w:rPr>
        <w:t>Comprend les salles de restaurant, salles de détente et/ou de repas, les tisaneries.</w:t>
      </w:r>
    </w:p>
    <w:p w:rsidR="00597ADC" w:rsidRDefault="00F213AE">
      <w:pPr>
        <w:numPr>
          <w:ilvl w:val="0"/>
          <w:numId w:val="8"/>
        </w:numPr>
        <w:jc w:val="left"/>
        <w:rPr>
          <w:rFonts w:ascii="LiberationSans" w:hAnsi="LiberationSans"/>
          <w:sz w:val="22"/>
        </w:rPr>
      </w:pPr>
      <w:r>
        <w:rPr>
          <w:rFonts w:ascii="LiberationSans" w:hAnsi="LiberationSans"/>
          <w:sz w:val="22"/>
        </w:rPr>
        <w:t>Comprend les vitreries intérieures et extérieures des cloisons, portes et signalétiques, présentes dans ces espaces.</w:t>
      </w:r>
    </w:p>
    <w:p w:rsidR="00597ADC" w:rsidRDefault="00F213AE">
      <w:pPr>
        <w:numPr>
          <w:ilvl w:val="0"/>
          <w:numId w:val="8"/>
        </w:numPr>
        <w:jc w:val="left"/>
        <w:rPr>
          <w:rFonts w:ascii="LiberationSans" w:hAnsi="LiberationSans"/>
          <w:sz w:val="22"/>
        </w:rPr>
      </w:pPr>
      <w:r>
        <w:rPr>
          <w:rFonts w:ascii="LiberationSans" w:hAnsi="LiberationSans"/>
          <w:sz w:val="22"/>
        </w:rPr>
        <w:t>Comprend les équipements (réfrigérateurs, micro-ondes, etc.) présents dans les espaces de détente.</w:t>
      </w:r>
    </w:p>
    <w:p w:rsidR="00597ADC" w:rsidRDefault="00F213AE">
      <w:pPr>
        <w:numPr>
          <w:ilvl w:val="0"/>
          <w:numId w:val="9"/>
        </w:numPr>
        <w:jc w:val="left"/>
        <w:rPr>
          <w:rFonts w:ascii="LiberationSans" w:hAnsi="LiberationSans"/>
          <w:sz w:val="22"/>
        </w:rPr>
      </w:pPr>
      <w:r>
        <w:rPr>
          <w:rFonts w:ascii="LiberationSans" w:hAnsi="LiberationSans"/>
          <w:sz w:val="22"/>
        </w:rPr>
        <w:lastRenderedPageBreak/>
        <w:t>Sont exclus de la prestation :</w:t>
      </w:r>
    </w:p>
    <w:p w:rsidR="00597ADC" w:rsidRDefault="00F213AE">
      <w:pPr>
        <w:ind w:left="984"/>
        <w:jc w:val="left"/>
      </w:pPr>
      <w:r>
        <w:rPr>
          <w:rFonts w:ascii="Times New Roman" w:hAnsi="Times New Roman"/>
          <w:sz w:val="22"/>
        </w:rPr>
        <w:t xml:space="preserve">- </w:t>
      </w:r>
      <w:r>
        <w:rPr>
          <w:rFonts w:ascii="LiberationSans" w:hAnsi="LiberationSans"/>
          <w:sz w:val="22"/>
        </w:rPr>
        <w:t>le nettoyage des matériels de cuisson</w:t>
      </w:r>
    </w:p>
    <w:p w:rsidR="00597ADC" w:rsidRDefault="00597ADC">
      <w:pPr>
        <w:ind w:left="984"/>
        <w:jc w:val="left"/>
        <w:rPr>
          <w:rFonts w:ascii="Times New Roman" w:hAnsi="Times New Roman"/>
          <w:sz w:val="22"/>
        </w:rPr>
      </w:pPr>
    </w:p>
    <w:p w:rsidR="00597ADC" w:rsidRDefault="00F213AE">
      <w:pPr>
        <w:ind w:left="984"/>
        <w:jc w:val="left"/>
      </w:pPr>
      <w:r>
        <w:rPr>
          <w:rFonts w:ascii="Times New Roman" w:hAnsi="Times New Roman"/>
          <w:sz w:val="22"/>
        </w:rPr>
        <w:t xml:space="preserve">- </w:t>
      </w:r>
      <w:r>
        <w:rPr>
          <w:rFonts w:ascii="LiberationSans" w:hAnsi="LiberationSans"/>
          <w:sz w:val="22"/>
        </w:rPr>
        <w:t>le nettoyage des appareils électroménagers des espaces repas (, fontaines à eau, machine à café etc…) dont le nettoyage est de la responsabilité des utilisateurs.</w:t>
      </w:r>
    </w:p>
    <w:p w:rsidR="00597ADC" w:rsidRDefault="00F213AE">
      <w:pPr>
        <w:ind w:left="984"/>
        <w:jc w:val="left"/>
        <w:rPr>
          <w:rFonts w:ascii="LiberationSans" w:hAnsi="LiberationSans"/>
          <w:sz w:val="22"/>
        </w:rPr>
      </w:pPr>
      <w:r>
        <w:rPr>
          <w:rFonts w:ascii="LiberationSans" w:hAnsi="LiberationSans"/>
          <w:sz w:val="22"/>
        </w:rPr>
        <w:t>- le mobilier (table, chaises, banquette etc.) des espaces repas</w:t>
      </w:r>
    </w:p>
    <w:p w:rsidR="00597ADC" w:rsidRDefault="00597ADC">
      <w:pPr>
        <w:ind w:left="984"/>
        <w:jc w:val="left"/>
        <w:rPr>
          <w:rFonts w:ascii="LiberationSans" w:hAnsi="LiberationSans"/>
          <w:sz w:val="22"/>
        </w:rPr>
      </w:pPr>
    </w:p>
    <w:p w:rsidR="00597ADC" w:rsidRDefault="00F213AE">
      <w:pPr>
        <w:jc w:val="left"/>
        <w:rPr>
          <w:rFonts w:ascii="LiberationSans;Bold" w:hAnsi="LiberationSans;Bold"/>
          <w:b/>
          <w:sz w:val="22"/>
        </w:rPr>
      </w:pPr>
      <w:r>
        <w:rPr>
          <w:rFonts w:ascii="LiberationSans;Bold" w:hAnsi="LiberationSans;Bold"/>
          <w:b/>
          <w:sz w:val="22"/>
        </w:rPr>
        <w:t>Zone 4 : "Bureaux"</w:t>
      </w:r>
    </w:p>
    <w:p w:rsidR="00597ADC" w:rsidRDefault="00597ADC">
      <w:pPr>
        <w:jc w:val="left"/>
        <w:rPr>
          <w:rFonts w:ascii="LiberationSans;Bold" w:hAnsi="LiberationSans;Bold"/>
          <w:b/>
          <w:sz w:val="22"/>
        </w:rPr>
      </w:pPr>
    </w:p>
    <w:p w:rsidR="00597ADC" w:rsidRDefault="00F213AE">
      <w:pPr>
        <w:numPr>
          <w:ilvl w:val="0"/>
          <w:numId w:val="10"/>
        </w:numPr>
        <w:jc w:val="left"/>
        <w:rPr>
          <w:rFonts w:ascii="LiberationSans" w:hAnsi="LiberationSans"/>
          <w:sz w:val="22"/>
        </w:rPr>
      </w:pPr>
      <w:r>
        <w:rPr>
          <w:rFonts w:ascii="LiberationSans" w:hAnsi="LiberationSans"/>
          <w:sz w:val="22"/>
        </w:rPr>
        <w:t>Comprend les zones de bureaux : individuels, collectifs, espaces de confidentialité, salles de réunion, bibliothèques, salles d’exposition, loges de gardien et locaux communs (courrier, reprographie, locaux syndicaux, salles d'archives vivantes, bureaux des cabinets médicaux …)</w:t>
      </w:r>
    </w:p>
    <w:p w:rsidR="00597ADC" w:rsidRDefault="00597ADC">
      <w:pPr>
        <w:jc w:val="left"/>
        <w:rPr>
          <w:rFonts w:ascii="LiberationSans" w:hAnsi="LiberationSans"/>
          <w:sz w:val="22"/>
        </w:rPr>
      </w:pPr>
    </w:p>
    <w:p w:rsidR="00597ADC" w:rsidRDefault="00F213AE">
      <w:pPr>
        <w:jc w:val="left"/>
        <w:rPr>
          <w:rFonts w:ascii="LiberationSans;Bold" w:hAnsi="LiberationSans;Bold"/>
          <w:b/>
          <w:sz w:val="22"/>
        </w:rPr>
      </w:pPr>
      <w:r>
        <w:rPr>
          <w:rFonts w:ascii="LiberationSans;Bold" w:hAnsi="LiberationSans;Bold"/>
          <w:b/>
          <w:sz w:val="22"/>
        </w:rPr>
        <w:t>Zone 5 : "Circulations"</w:t>
      </w:r>
    </w:p>
    <w:p w:rsidR="00597ADC" w:rsidRDefault="00597ADC">
      <w:pPr>
        <w:jc w:val="left"/>
        <w:rPr>
          <w:rFonts w:ascii="LiberationSans;Bold" w:hAnsi="LiberationSans;Bold"/>
          <w:b/>
          <w:sz w:val="22"/>
        </w:rPr>
      </w:pPr>
    </w:p>
    <w:p w:rsidR="00597ADC" w:rsidRDefault="00F213AE">
      <w:pPr>
        <w:numPr>
          <w:ilvl w:val="0"/>
          <w:numId w:val="11"/>
        </w:numPr>
        <w:jc w:val="left"/>
        <w:rPr>
          <w:rFonts w:ascii="LiberationSans" w:hAnsi="LiberationSans"/>
          <w:sz w:val="22"/>
        </w:rPr>
      </w:pPr>
      <w:r>
        <w:rPr>
          <w:rFonts w:ascii="LiberationSans" w:hAnsi="LiberationSans"/>
          <w:sz w:val="22"/>
        </w:rPr>
        <w:t>Comprend les espaces de circulation, couloirs, paliers, quais de livraison, ascenseurs et monte-charges.</w:t>
      </w:r>
    </w:p>
    <w:p w:rsidR="00597ADC" w:rsidRDefault="00F213AE">
      <w:pPr>
        <w:numPr>
          <w:ilvl w:val="0"/>
          <w:numId w:val="11"/>
        </w:numPr>
        <w:jc w:val="left"/>
        <w:rPr>
          <w:rFonts w:ascii="LiberationSans" w:hAnsi="LiberationSans"/>
          <w:sz w:val="22"/>
        </w:rPr>
      </w:pPr>
      <w:r>
        <w:rPr>
          <w:rFonts w:ascii="LiberationSans" w:hAnsi="LiberationSans"/>
          <w:sz w:val="22"/>
        </w:rPr>
        <w:t>Comprend également les vitreries intérieures et extérieures des cloisons et portes présentes dans ces espaces.</w:t>
      </w:r>
    </w:p>
    <w:p w:rsidR="00597ADC" w:rsidRDefault="00597ADC">
      <w:pPr>
        <w:jc w:val="left"/>
        <w:rPr>
          <w:rFonts w:ascii="LiberationSans" w:hAnsi="LiberationSans"/>
          <w:sz w:val="22"/>
        </w:rPr>
      </w:pPr>
    </w:p>
    <w:p w:rsidR="00597ADC" w:rsidRDefault="00F213AE">
      <w:pPr>
        <w:jc w:val="left"/>
        <w:rPr>
          <w:rFonts w:ascii="LiberationSans;Bold" w:hAnsi="LiberationSans;Bold"/>
          <w:b/>
          <w:sz w:val="22"/>
        </w:rPr>
      </w:pPr>
      <w:r>
        <w:rPr>
          <w:rFonts w:ascii="LiberationSans;Bold" w:hAnsi="LiberationSans;Bold"/>
          <w:b/>
          <w:sz w:val="22"/>
        </w:rPr>
        <w:t>Zone 6 : "Escaliers"</w:t>
      </w:r>
    </w:p>
    <w:p w:rsidR="00597ADC" w:rsidRDefault="00597ADC">
      <w:pPr>
        <w:jc w:val="left"/>
        <w:rPr>
          <w:rFonts w:ascii="LiberationSans;Bold" w:hAnsi="LiberationSans;Bold"/>
          <w:b/>
          <w:sz w:val="22"/>
        </w:rPr>
      </w:pPr>
    </w:p>
    <w:p w:rsidR="00597ADC" w:rsidRDefault="00F213AE">
      <w:pPr>
        <w:numPr>
          <w:ilvl w:val="0"/>
          <w:numId w:val="12"/>
        </w:numPr>
        <w:jc w:val="left"/>
        <w:rPr>
          <w:rFonts w:ascii="LiberationSans" w:hAnsi="LiberationSans"/>
          <w:sz w:val="22"/>
        </w:rPr>
      </w:pPr>
      <w:r>
        <w:rPr>
          <w:rFonts w:ascii="LiberationSans" w:hAnsi="LiberationSans"/>
          <w:sz w:val="22"/>
        </w:rPr>
        <w:t>Escaliers de circulation intérieure aux sites.</w:t>
      </w:r>
    </w:p>
    <w:p w:rsidR="00597ADC" w:rsidRDefault="00597ADC">
      <w:pPr>
        <w:jc w:val="left"/>
        <w:rPr>
          <w:rFonts w:ascii="Times New Roman" w:hAnsi="Times New Roman"/>
          <w:sz w:val="24"/>
        </w:rPr>
      </w:pPr>
    </w:p>
    <w:p w:rsidR="00597ADC" w:rsidRDefault="00F213AE">
      <w:pPr>
        <w:jc w:val="left"/>
        <w:rPr>
          <w:rFonts w:ascii="LiberationSans;Bold" w:hAnsi="LiberationSans;Bold"/>
          <w:b/>
          <w:sz w:val="22"/>
        </w:rPr>
      </w:pPr>
      <w:r>
        <w:rPr>
          <w:rFonts w:ascii="LiberationSans;Bold" w:hAnsi="LiberationSans;Bold"/>
          <w:b/>
          <w:sz w:val="22"/>
        </w:rPr>
        <w:t>Zone 7 : "Locaux divers"</w:t>
      </w:r>
    </w:p>
    <w:p w:rsidR="00597ADC" w:rsidRDefault="00597ADC">
      <w:pPr>
        <w:jc w:val="left"/>
        <w:rPr>
          <w:rFonts w:ascii="LiberationSans;Bold" w:hAnsi="LiberationSans;Bold"/>
          <w:b/>
          <w:sz w:val="22"/>
        </w:rPr>
      </w:pPr>
    </w:p>
    <w:p w:rsidR="00597ADC" w:rsidRDefault="00F213AE">
      <w:pPr>
        <w:numPr>
          <w:ilvl w:val="0"/>
          <w:numId w:val="13"/>
        </w:numPr>
        <w:jc w:val="left"/>
        <w:rPr>
          <w:rFonts w:ascii="LiberationSans" w:hAnsi="LiberationSans"/>
          <w:sz w:val="22"/>
        </w:rPr>
      </w:pPr>
      <w:r>
        <w:rPr>
          <w:rFonts w:ascii="LiberationSans" w:hAnsi="LiberationSans"/>
          <w:sz w:val="22"/>
        </w:rPr>
        <w:t>Comprend tous les espaces accueillant des agents de manière plus occasionnelle et/ou ne nécessitant pas un entretien très lourd tels que locaux techniques, locaux informatiques, entrepôts, réserves, salles d'archives …</w:t>
      </w:r>
    </w:p>
    <w:p w:rsidR="00597ADC" w:rsidRDefault="00597ADC">
      <w:pPr>
        <w:jc w:val="left"/>
        <w:rPr>
          <w:rFonts w:ascii="LiberationSans" w:hAnsi="LiberationSans"/>
          <w:sz w:val="22"/>
        </w:rPr>
      </w:pPr>
    </w:p>
    <w:p w:rsidR="00597ADC" w:rsidRDefault="00F213AE">
      <w:pPr>
        <w:jc w:val="left"/>
        <w:rPr>
          <w:rFonts w:ascii="LiberationSans;Bold" w:hAnsi="LiberationSans;Bold"/>
          <w:b/>
          <w:sz w:val="22"/>
        </w:rPr>
      </w:pPr>
      <w:r>
        <w:rPr>
          <w:rFonts w:ascii="LiberationSans;Bold" w:hAnsi="LiberationSans;Bold"/>
          <w:b/>
          <w:sz w:val="22"/>
        </w:rPr>
        <w:t>Zone 8 : "Extérieurs &amp; sous-sols"</w:t>
      </w:r>
    </w:p>
    <w:p w:rsidR="00597ADC" w:rsidRDefault="00597ADC">
      <w:pPr>
        <w:jc w:val="left"/>
        <w:rPr>
          <w:rFonts w:ascii="LiberationSans;Bold" w:hAnsi="LiberationSans;Bold"/>
          <w:b/>
          <w:sz w:val="22"/>
        </w:rPr>
      </w:pPr>
    </w:p>
    <w:p w:rsidR="00597ADC" w:rsidRDefault="00F213AE">
      <w:pPr>
        <w:numPr>
          <w:ilvl w:val="0"/>
          <w:numId w:val="14"/>
        </w:numPr>
        <w:jc w:val="left"/>
      </w:pPr>
      <w:r>
        <w:rPr>
          <w:rFonts w:ascii="LiberationSans" w:hAnsi="LiberationSans"/>
          <w:sz w:val="22"/>
        </w:rPr>
        <w:t>Comprend tous les espaces extérieurs au bâtiment : les seuils, devant les SAS du RIE de l’Arche Paroi Sud et du club sportif de l’Arche, la voirie, les cours, les parkings et les garages ainsi que les sous-sols, chaufferies …</w:t>
      </w:r>
    </w:p>
    <w:p w:rsidR="00597ADC" w:rsidRDefault="00597ADC">
      <w:pPr>
        <w:jc w:val="left"/>
        <w:rPr>
          <w:rFonts w:ascii="LiberationSans" w:hAnsi="LiberationSans"/>
          <w:sz w:val="22"/>
        </w:rPr>
      </w:pPr>
    </w:p>
    <w:p w:rsidR="00597ADC" w:rsidRDefault="00F213AE">
      <w:pPr>
        <w:jc w:val="left"/>
        <w:rPr>
          <w:rFonts w:ascii="LiberationSans;Bold" w:hAnsi="LiberationSans;Bold"/>
          <w:b/>
          <w:sz w:val="22"/>
        </w:rPr>
      </w:pPr>
      <w:r>
        <w:rPr>
          <w:rFonts w:ascii="LiberationSans;Bold" w:hAnsi="LiberationSans;Bold"/>
          <w:b/>
          <w:sz w:val="22"/>
        </w:rPr>
        <w:t>Zone 9 : "Vitrerie"</w:t>
      </w:r>
    </w:p>
    <w:p w:rsidR="00597ADC" w:rsidRDefault="00597ADC">
      <w:pPr>
        <w:jc w:val="left"/>
        <w:rPr>
          <w:rFonts w:ascii="LiberationSans;Bold" w:hAnsi="LiberationSans;Bold"/>
          <w:b/>
          <w:sz w:val="22"/>
        </w:rPr>
      </w:pPr>
    </w:p>
    <w:p w:rsidR="00597ADC" w:rsidRDefault="00F213AE">
      <w:pPr>
        <w:numPr>
          <w:ilvl w:val="0"/>
          <w:numId w:val="15"/>
        </w:numPr>
        <w:jc w:val="left"/>
      </w:pPr>
      <w:r>
        <w:rPr>
          <w:rFonts w:ascii="LiberationSans" w:hAnsi="LiberationSans"/>
          <w:sz w:val="22"/>
        </w:rPr>
        <w:t>Comprend toutes les vitres accessibles sans matériel spécifique donnant sur l'extérieur du bâtiment : face intérieure et extérieure.</w:t>
      </w:r>
    </w:p>
    <w:p w:rsidR="00597ADC" w:rsidRPr="006F19B3" w:rsidRDefault="00F213AE" w:rsidP="006F19B3">
      <w:pPr>
        <w:numPr>
          <w:ilvl w:val="0"/>
          <w:numId w:val="15"/>
        </w:numPr>
        <w:jc w:val="left"/>
        <w:rPr>
          <w:rFonts w:ascii="LiberationSans" w:hAnsi="LiberationSans"/>
          <w:sz w:val="22"/>
        </w:rPr>
      </w:pPr>
      <w:proofErr w:type="gramStart"/>
      <w:r w:rsidRPr="006F19B3">
        <w:rPr>
          <w:rFonts w:ascii="LiberationSans" w:hAnsi="LiberationSans"/>
          <w:sz w:val="22"/>
        </w:rPr>
        <w:t>les</w:t>
      </w:r>
      <w:proofErr w:type="gramEnd"/>
      <w:r w:rsidRPr="006F19B3">
        <w:rPr>
          <w:rFonts w:ascii="LiberationSans" w:hAnsi="LiberationSans"/>
          <w:sz w:val="22"/>
        </w:rPr>
        <w:t xml:space="preserve"> cloisons, portes intérieures vitrées, signalétiques vitrées, rattachées à la zone associée (Accueil, Bureaux, Espace repas, self…).</w:t>
      </w:r>
    </w:p>
    <w:p w:rsidR="00597ADC" w:rsidRDefault="00597ADC">
      <w:pPr>
        <w:jc w:val="left"/>
        <w:rPr>
          <w:rFonts w:ascii="LiberationSans;BoldItalic" w:hAnsi="LiberationSans;BoldItalic"/>
          <w:b/>
          <w:i/>
          <w:sz w:val="22"/>
        </w:rPr>
      </w:pPr>
    </w:p>
    <w:p w:rsidR="00597ADC" w:rsidRDefault="00F213AE">
      <w:pPr>
        <w:jc w:val="left"/>
      </w:pPr>
      <w:r>
        <w:rPr>
          <w:rFonts w:ascii="LiberationSans;Bold" w:hAnsi="LiberationSans;Bold"/>
          <w:b/>
          <w:sz w:val="22"/>
        </w:rPr>
        <w:t>Zone 10 : "Salles de sport"</w:t>
      </w:r>
    </w:p>
    <w:p w:rsidR="00597ADC" w:rsidRDefault="00597ADC">
      <w:pPr>
        <w:jc w:val="left"/>
        <w:rPr>
          <w:rFonts w:ascii="LiberationSans;Bold" w:hAnsi="LiberationSans;Bold"/>
          <w:b/>
          <w:sz w:val="22"/>
        </w:rPr>
      </w:pPr>
    </w:p>
    <w:p w:rsidR="00597ADC" w:rsidRDefault="00F213AE">
      <w:pPr>
        <w:numPr>
          <w:ilvl w:val="0"/>
          <w:numId w:val="17"/>
        </w:numPr>
        <w:jc w:val="left"/>
        <w:rPr>
          <w:rFonts w:ascii="LiberationSans" w:hAnsi="LiberationSans"/>
          <w:sz w:val="22"/>
        </w:rPr>
      </w:pPr>
      <w:r>
        <w:rPr>
          <w:rFonts w:ascii="LiberationSans" w:hAnsi="LiberationSans"/>
          <w:sz w:val="22"/>
        </w:rPr>
        <w:t>Comprend tous les espaces liés à la pratique du sport à l’intérieur des bâtiments.</w:t>
      </w:r>
    </w:p>
    <w:p w:rsidR="00597ADC" w:rsidRDefault="00F213AE">
      <w:pPr>
        <w:numPr>
          <w:ilvl w:val="0"/>
          <w:numId w:val="18"/>
        </w:numPr>
        <w:jc w:val="left"/>
        <w:rPr>
          <w:rFonts w:ascii="LiberationSans" w:hAnsi="LiberationSans"/>
          <w:sz w:val="22"/>
        </w:rPr>
      </w:pPr>
      <w:r>
        <w:rPr>
          <w:rFonts w:ascii="LiberationSans" w:hAnsi="LiberationSans"/>
          <w:sz w:val="22"/>
        </w:rPr>
        <w:t>Sont exclus de la prestation :</w:t>
      </w:r>
    </w:p>
    <w:p w:rsidR="00597ADC" w:rsidRDefault="00F213AE">
      <w:pPr>
        <w:ind w:left="960"/>
        <w:jc w:val="left"/>
        <w:rPr>
          <w:rFonts w:ascii="LiberationSans" w:hAnsi="LiberationSans"/>
          <w:sz w:val="22"/>
        </w:rPr>
      </w:pPr>
      <w:r>
        <w:rPr>
          <w:rFonts w:ascii="LiberationSans" w:hAnsi="LiberationSans"/>
          <w:sz w:val="22"/>
        </w:rPr>
        <w:t>- le nettoyage des appareils sportifs, agrès et matériels de sport.</w:t>
      </w:r>
    </w:p>
    <w:p w:rsidR="00597ADC" w:rsidRDefault="00F213AE">
      <w:pPr>
        <w:numPr>
          <w:ilvl w:val="0"/>
          <w:numId w:val="19"/>
        </w:numPr>
        <w:jc w:val="left"/>
        <w:rPr>
          <w:rFonts w:ascii="LiberationSans;BoldItalic" w:hAnsi="LiberationSans;BoldItalic"/>
          <w:b/>
          <w:i/>
          <w:sz w:val="22"/>
        </w:rPr>
      </w:pPr>
      <w:r>
        <w:rPr>
          <w:rFonts w:ascii="LiberationSans;BoldItalic" w:hAnsi="LiberationSans;BoldItalic"/>
          <w:b/>
          <w:i/>
          <w:sz w:val="22"/>
        </w:rPr>
        <w:lastRenderedPageBreak/>
        <w:t>Ne sont pas concernées les espaces privatifs des associations.</w:t>
      </w:r>
    </w:p>
    <w:p w:rsidR="00597ADC" w:rsidRDefault="00597ADC" w:rsidP="006F19B3">
      <w:pPr>
        <w:jc w:val="left"/>
        <w:rPr>
          <w:rFonts w:ascii="LiberationSans" w:hAnsi="LiberationSans"/>
          <w:sz w:val="22"/>
        </w:rPr>
      </w:pPr>
    </w:p>
    <w:p w:rsidR="00597ADC" w:rsidRDefault="00597ADC">
      <w:pPr>
        <w:ind w:left="960"/>
        <w:jc w:val="left"/>
        <w:rPr>
          <w:rFonts w:ascii="LiberationSans" w:hAnsi="LiberationSans"/>
          <w:sz w:val="22"/>
        </w:rPr>
      </w:pPr>
    </w:p>
    <w:p w:rsidR="00597ADC" w:rsidRDefault="00F213AE">
      <w:pPr>
        <w:jc w:val="left"/>
        <w:rPr>
          <w:rFonts w:ascii="LiberationSans;Bold" w:hAnsi="LiberationSans;Bold"/>
          <w:b/>
          <w:sz w:val="22"/>
        </w:rPr>
      </w:pPr>
      <w:r>
        <w:rPr>
          <w:rFonts w:ascii="LiberationSans;Bold" w:hAnsi="LiberationSans;Bold"/>
          <w:b/>
          <w:sz w:val="22"/>
        </w:rPr>
        <w:t>Zone 11 : "Crèche"</w:t>
      </w:r>
    </w:p>
    <w:p w:rsidR="00597ADC" w:rsidRDefault="00597ADC">
      <w:pPr>
        <w:jc w:val="left"/>
        <w:rPr>
          <w:rFonts w:ascii="LiberationSans;Bold" w:hAnsi="LiberationSans;Bold"/>
          <w:b/>
          <w:sz w:val="22"/>
        </w:rPr>
      </w:pPr>
    </w:p>
    <w:p w:rsidR="00597ADC" w:rsidRDefault="00F213AE">
      <w:pPr>
        <w:numPr>
          <w:ilvl w:val="0"/>
          <w:numId w:val="20"/>
        </w:numPr>
        <w:jc w:val="left"/>
        <w:rPr>
          <w:rFonts w:ascii="LiberationSans" w:hAnsi="LiberationSans"/>
          <w:sz w:val="22"/>
        </w:rPr>
      </w:pPr>
      <w:r>
        <w:rPr>
          <w:rFonts w:ascii="LiberationSans" w:hAnsi="LiberationSans"/>
          <w:sz w:val="22"/>
        </w:rPr>
        <w:t xml:space="preserve">Comprend tous les espaces liés à l’activité de cette zone tels que les salles de jeux, les dortoirs, la </w:t>
      </w:r>
      <w:proofErr w:type="spellStart"/>
      <w:r>
        <w:rPr>
          <w:rFonts w:ascii="LiberationSans" w:hAnsi="LiberationSans"/>
          <w:sz w:val="22"/>
        </w:rPr>
        <w:t>biberonnerie</w:t>
      </w:r>
      <w:proofErr w:type="spellEnd"/>
      <w:r>
        <w:rPr>
          <w:rFonts w:ascii="LiberationSans" w:hAnsi="LiberationSans"/>
          <w:sz w:val="22"/>
        </w:rPr>
        <w:t>, la laverie, les vestiaires, les salles de change et sanitaires enfants nécessitant l’utilisation de produits particuliers.</w:t>
      </w:r>
    </w:p>
    <w:p w:rsidR="00597ADC" w:rsidRDefault="00F213AE">
      <w:pPr>
        <w:numPr>
          <w:ilvl w:val="0"/>
          <w:numId w:val="21"/>
        </w:numPr>
        <w:jc w:val="left"/>
      </w:pPr>
      <w:r>
        <w:rPr>
          <w:rFonts w:ascii="LiberationSans" w:hAnsi="LiberationSans"/>
          <w:sz w:val="22"/>
        </w:rPr>
        <w:t>Sont exclus de la prestation :</w:t>
      </w:r>
    </w:p>
    <w:p w:rsidR="00597ADC" w:rsidRDefault="00F213AE">
      <w:pPr>
        <w:tabs>
          <w:tab w:val="left" w:pos="1200"/>
        </w:tabs>
        <w:ind w:left="960"/>
        <w:jc w:val="left"/>
      </w:pPr>
      <w:r>
        <w:rPr>
          <w:rFonts w:ascii="Times New Roman" w:hAnsi="Times New Roman"/>
          <w:sz w:val="22"/>
        </w:rPr>
        <w:t xml:space="preserve">- </w:t>
      </w:r>
      <w:r>
        <w:rPr>
          <w:rFonts w:ascii="LiberationSans" w:hAnsi="LiberationSans"/>
          <w:sz w:val="22"/>
        </w:rPr>
        <w:t>la zone de cuisine</w:t>
      </w:r>
    </w:p>
    <w:p w:rsidR="00597ADC" w:rsidRDefault="00F213AE">
      <w:pPr>
        <w:tabs>
          <w:tab w:val="left" w:pos="1200"/>
        </w:tabs>
        <w:ind w:left="960"/>
        <w:jc w:val="left"/>
      </w:pPr>
      <w:r>
        <w:rPr>
          <w:rFonts w:ascii="Times New Roman" w:hAnsi="Times New Roman"/>
          <w:sz w:val="22"/>
        </w:rPr>
        <w:t xml:space="preserve">- </w:t>
      </w:r>
      <w:r>
        <w:rPr>
          <w:rFonts w:ascii="LiberationSans" w:hAnsi="LiberationSans"/>
          <w:sz w:val="22"/>
        </w:rPr>
        <w:t>le nettoyage des matériels de cuisson</w:t>
      </w:r>
    </w:p>
    <w:p w:rsidR="00597ADC" w:rsidRDefault="00F213AE">
      <w:pPr>
        <w:tabs>
          <w:tab w:val="left" w:pos="1200"/>
        </w:tabs>
        <w:ind w:left="960"/>
        <w:jc w:val="left"/>
      </w:pPr>
      <w:r>
        <w:rPr>
          <w:rFonts w:ascii="Times New Roman" w:hAnsi="Times New Roman"/>
          <w:sz w:val="22"/>
        </w:rPr>
        <w:t xml:space="preserve">- </w:t>
      </w:r>
      <w:r>
        <w:rPr>
          <w:rFonts w:ascii="LiberationSans" w:hAnsi="LiberationSans"/>
          <w:sz w:val="22"/>
        </w:rPr>
        <w:t>le nettoyage des appareils électroménagers dans les salles (four micro-ondes, réfrigérateur, machine à café etc…) dont le nettoyage est de la responsabilité des utilisateurs.</w:t>
      </w:r>
    </w:p>
    <w:p w:rsidR="00597ADC" w:rsidRDefault="00F213AE">
      <w:pPr>
        <w:tabs>
          <w:tab w:val="left" w:pos="1200"/>
        </w:tabs>
        <w:ind w:left="960"/>
        <w:jc w:val="left"/>
      </w:pPr>
      <w:r>
        <w:rPr>
          <w:rFonts w:ascii="LiberationSans" w:hAnsi="LiberationSans"/>
          <w:sz w:val="22"/>
        </w:rPr>
        <w:t>- les jouets et matelas</w:t>
      </w:r>
    </w:p>
    <w:p w:rsidR="00597ADC" w:rsidRDefault="00597ADC">
      <w:pPr>
        <w:tabs>
          <w:tab w:val="left" w:pos="1200"/>
        </w:tabs>
        <w:ind w:left="960"/>
        <w:jc w:val="left"/>
      </w:pPr>
    </w:p>
    <w:p w:rsidR="00597ADC" w:rsidRDefault="00597ADC">
      <w:pPr>
        <w:tabs>
          <w:tab w:val="left" w:pos="1200"/>
        </w:tabs>
        <w:ind w:left="960"/>
        <w:jc w:val="left"/>
        <w:rPr>
          <w:rFonts w:ascii="LiberationSans" w:hAnsi="LiberationSans"/>
          <w:sz w:val="22"/>
        </w:rPr>
      </w:pPr>
    </w:p>
    <w:p w:rsidR="00597ADC" w:rsidRDefault="00F213AE">
      <w:pPr>
        <w:jc w:val="left"/>
      </w:pPr>
      <w:r>
        <w:rPr>
          <w:rFonts w:ascii="LiberationSans;Bold" w:hAnsi="LiberationSans;Bold"/>
          <w:b/>
          <w:sz w:val="22"/>
        </w:rPr>
        <w:t>Zone 12 : "Ateliers"</w:t>
      </w:r>
    </w:p>
    <w:p w:rsidR="00597ADC" w:rsidRDefault="00597ADC">
      <w:pPr>
        <w:jc w:val="left"/>
        <w:rPr>
          <w:rFonts w:ascii="LiberationSans;Bold" w:hAnsi="LiberationSans;Bold"/>
          <w:b/>
          <w:sz w:val="22"/>
        </w:rPr>
      </w:pPr>
    </w:p>
    <w:p w:rsidR="00597ADC" w:rsidRDefault="00F213AE">
      <w:pPr>
        <w:numPr>
          <w:ilvl w:val="0"/>
          <w:numId w:val="22"/>
        </w:numPr>
        <w:jc w:val="left"/>
      </w:pPr>
      <w:r>
        <w:rPr>
          <w:rFonts w:ascii="LiberationSans" w:hAnsi="LiberationSans"/>
          <w:sz w:val="22"/>
        </w:rPr>
        <w:t>Comprend tous les espaces liés à l’activité de la menuiserie, du garage et la guérite de la sûreté.</w:t>
      </w:r>
    </w:p>
    <w:p w:rsidR="00597ADC" w:rsidRDefault="00F213AE">
      <w:pPr>
        <w:numPr>
          <w:ilvl w:val="0"/>
          <w:numId w:val="23"/>
        </w:numPr>
        <w:jc w:val="left"/>
        <w:rPr>
          <w:rFonts w:ascii="LiberationSans" w:hAnsi="LiberationSans"/>
          <w:sz w:val="22"/>
        </w:rPr>
      </w:pPr>
      <w:r>
        <w:rPr>
          <w:rFonts w:ascii="LiberationSans" w:hAnsi="LiberationSans"/>
          <w:sz w:val="22"/>
        </w:rPr>
        <w:t>Sont exclus de la prestation :</w:t>
      </w:r>
    </w:p>
    <w:p w:rsidR="00597ADC" w:rsidRDefault="00F213AE">
      <w:pPr>
        <w:ind w:left="972"/>
        <w:jc w:val="left"/>
      </w:pPr>
      <w:r>
        <w:rPr>
          <w:rFonts w:ascii="LiberationSans" w:hAnsi="LiberationSans"/>
          <w:sz w:val="22"/>
        </w:rPr>
        <w:t>- le nettoyage des établis et outillages ou appareils utilisés par les agents de l’administration.</w:t>
      </w:r>
    </w:p>
    <w:sectPr w:rsidR="00597AD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2552" w:left="2268" w:header="0" w:footer="0" w:gutter="0"/>
      <w:cols w:space="720"/>
      <w:formProt w:val="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EEE" w:rsidRDefault="00F213AE">
      <w:r>
        <w:separator/>
      </w:r>
    </w:p>
  </w:endnote>
  <w:endnote w:type="continuationSeparator" w:id="0">
    <w:p w:rsidR="00FC7EEE" w:rsidRDefault="00F21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tarSymbol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LiberationSans;Bold">
    <w:altName w:val="Times New Roman"/>
    <w:panose1 w:val="00000000000000000000"/>
    <w:charset w:val="00"/>
    <w:family w:val="roman"/>
    <w:notTrueType/>
    <w:pitch w:val="default"/>
  </w:font>
  <w:font w:name="LiberationSans">
    <w:altName w:val="Calibri"/>
    <w:charset w:val="00"/>
    <w:family w:val="roman"/>
    <w:pitch w:val="variable"/>
  </w:font>
  <w:font w:name="LiberationSans;BoldItalic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7ADC" w:rsidRDefault="00F213AE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5" behindDoc="0" locked="0" layoutInCell="0" allowOverlap="1">
              <wp:simplePos x="0" y="0"/>
              <wp:positionH relativeFrom="page">
                <wp:posOffset>543560</wp:posOffset>
              </wp:positionH>
              <wp:positionV relativeFrom="page">
                <wp:posOffset>10008235</wp:posOffset>
              </wp:positionV>
              <wp:extent cx="2753995" cy="114300"/>
              <wp:effectExtent l="0" t="0" r="0" b="0"/>
              <wp:wrapNone/>
              <wp:docPr id="3" name="cadre_adresse_internet_2emepag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53995" cy="114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:rsidR="00597ADC" w:rsidRDefault="00597ADC">
                          <w:pPr>
                            <w:pStyle w:val="m-siteweb"/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dre_adresse_internet_2emepage" o:spid="_x0000_s1026" type="#_x0000_t202" style="position:absolute;left:0;text-align:left;margin-left:42.8pt;margin-top:788.05pt;width:216.85pt;height:9pt;z-index: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" o:allowincell="f" stroked="f">
              <v:textbox inset="0,0,0,0">
                <w:txbxContent>
                  <w:p w:rsidR="00597ADC" w:rsidRDefault="00597ADC">
                    <w:pPr>
                      <w:pStyle w:val="m-siteweb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7ADC" w:rsidRDefault="00F213AE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3" behindDoc="1" locked="0" layoutInCell="0" allowOverlap="1">
              <wp:simplePos x="0" y="0"/>
              <wp:positionH relativeFrom="column">
                <wp:posOffset>-899795</wp:posOffset>
              </wp:positionH>
              <wp:positionV relativeFrom="paragraph">
                <wp:posOffset>-1259840</wp:posOffset>
              </wp:positionV>
              <wp:extent cx="4679950" cy="645795"/>
              <wp:effectExtent l="0" t="0" r="0" b="0"/>
              <wp:wrapNone/>
              <wp:docPr id="4" name="cadre_adresse_interne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0" cy="645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:rsidR="00597ADC" w:rsidRDefault="00597ADC">
                          <w:pPr>
                            <w:pStyle w:val="m-adresse"/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dre_adresse_internet" o:spid="_x0000_s1027" type="#_x0000_t202" style="position:absolute;left:0;text-align:left;margin-left:-70.85pt;margin-top:-99.2pt;width:368.5pt;height:50.85pt;z-index:-50331647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" o:allowincell="f" stroked="f">
              <v:textbox inset="0,0,0,0">
                <w:txbxContent>
                  <w:p w:rsidR="00597ADC" w:rsidRDefault="00597ADC">
                    <w:pPr>
                      <w:pStyle w:val="m-adresse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EEE" w:rsidRDefault="00F213AE">
      <w:r>
        <w:separator/>
      </w:r>
    </w:p>
  </w:footnote>
  <w:footnote w:type="continuationSeparator" w:id="0">
    <w:p w:rsidR="00FC7EEE" w:rsidRDefault="00F213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7ADC" w:rsidRDefault="00597AD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7ADC" w:rsidRDefault="00F213AE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2" behindDoc="1" locked="0" layoutInCell="0" allowOverlap="1">
              <wp:simplePos x="0" y="0"/>
              <wp:positionH relativeFrom="page">
                <wp:posOffset>181610</wp:posOffset>
              </wp:positionH>
              <wp:positionV relativeFrom="page">
                <wp:posOffset>3564255</wp:posOffset>
              </wp:positionV>
              <wp:extent cx="177165" cy="0"/>
              <wp:effectExtent l="0" t="5080" r="0" b="5080"/>
              <wp:wrapNone/>
              <wp:docPr id="2" name="Connecteur droi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7480" cy="360"/>
                      </a:xfrm>
                      <a:prstGeom prst="straightConnector1">
                        <a:avLst/>
                      </a:prstGeom>
                      <a:ln w="9360">
                        <a:solidFill>
                          <a:srgbClr val="000000"/>
                        </a:solidFill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path="m,l21600,21600nfe">
              <v:stroke joinstyle="miter"/>
              <v:path gradientshapeok="t" o:connecttype="rect" textboxrect="0,0,21600,21600"/>
            </v:shapetype>
            <v:shape id="shape_0" ID="Connecteur droit 3" stroked="t" o:allowincell="f" style="position:absolute;margin-left:-99.1pt;margin-top:280.65pt;width:13.9pt;height:0pt;mso-position-horizontal-relative:page;mso-position-vertical-relative:page" type="_x0000_t32">
              <v:stroke color="black" weight="9360" joinstyle="miter" endcap="flat"/>
              <v:fill o:detectmouseclick="t" on="false"/>
              <w10:wrap type="non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409"/>
    <w:multiLevelType w:val="multilevel"/>
    <w:tmpl w:val="CE5090B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C122FB2"/>
    <w:multiLevelType w:val="multilevel"/>
    <w:tmpl w:val="E97000C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C8A3573"/>
    <w:multiLevelType w:val="multilevel"/>
    <w:tmpl w:val="5656B342"/>
    <w:lvl w:ilvl="0">
      <w:start w:val="1"/>
      <w:numFmt w:val="none"/>
      <w:pStyle w:val="Titre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2E05D0C"/>
    <w:multiLevelType w:val="multilevel"/>
    <w:tmpl w:val="9C1423A8"/>
    <w:lvl w:ilvl="0">
      <w:start w:val="1"/>
      <w:numFmt w:val="decimal"/>
      <w:pStyle w:val="m-listeNumerique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4" w15:restartNumberingAfterBreak="0">
    <w:nsid w:val="1D993B17"/>
    <w:multiLevelType w:val="multilevel"/>
    <w:tmpl w:val="4D343B48"/>
    <w:lvl w:ilvl="0">
      <w:start w:val="1"/>
      <w:numFmt w:val="bullet"/>
      <w:lvlText w:val=""/>
      <w:lvlJc w:val="left"/>
      <w:pPr>
        <w:tabs>
          <w:tab w:val="num" w:pos="0"/>
        </w:tabs>
        <w:ind w:left="1069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29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149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509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5" w15:restartNumberingAfterBreak="0">
    <w:nsid w:val="23036406"/>
    <w:multiLevelType w:val="multilevel"/>
    <w:tmpl w:val="1A36DCD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254502F4"/>
    <w:multiLevelType w:val="multilevel"/>
    <w:tmpl w:val="E43456D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7" w15:restartNumberingAfterBreak="0">
    <w:nsid w:val="2DE156B9"/>
    <w:multiLevelType w:val="multilevel"/>
    <w:tmpl w:val="9CC0E0E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8" w15:restartNumberingAfterBreak="0">
    <w:nsid w:val="320A7076"/>
    <w:multiLevelType w:val="multilevel"/>
    <w:tmpl w:val="65004870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9" w15:restartNumberingAfterBreak="0">
    <w:nsid w:val="33A50B33"/>
    <w:multiLevelType w:val="multilevel"/>
    <w:tmpl w:val="A048705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0" w15:restartNumberingAfterBreak="0">
    <w:nsid w:val="353323B9"/>
    <w:multiLevelType w:val="multilevel"/>
    <w:tmpl w:val="5B08C7E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1" w15:restartNumberingAfterBreak="0">
    <w:nsid w:val="41261D4A"/>
    <w:multiLevelType w:val="multilevel"/>
    <w:tmpl w:val="B9FEC06A"/>
    <w:lvl w:ilvl="0">
      <w:start w:val="1"/>
      <w:numFmt w:val="bullet"/>
      <w:pStyle w:val="m-listePuce"/>
      <w:lvlText w:val=""/>
      <w:lvlJc w:val="left"/>
      <w:pPr>
        <w:tabs>
          <w:tab w:val="num" w:pos="0"/>
        </w:tabs>
        <w:ind w:left="227" w:hanging="22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454" w:hanging="22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680" w:hanging="22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907" w:hanging="22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4" w:hanging="22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361" w:hanging="22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587" w:hanging="22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14" w:hanging="22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041" w:hanging="227"/>
      </w:pPr>
      <w:rPr>
        <w:rFonts w:ascii="Symbol" w:hAnsi="Symbol" w:cs="Symbol" w:hint="default"/>
      </w:rPr>
    </w:lvl>
  </w:abstractNum>
  <w:abstractNum w:abstractNumId="12" w15:restartNumberingAfterBreak="0">
    <w:nsid w:val="57A05832"/>
    <w:multiLevelType w:val="multilevel"/>
    <w:tmpl w:val="6B5E5D1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3" w15:restartNumberingAfterBreak="0">
    <w:nsid w:val="5A374699"/>
    <w:multiLevelType w:val="multilevel"/>
    <w:tmpl w:val="3A042930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4" w15:restartNumberingAfterBreak="0">
    <w:nsid w:val="5AC21C5B"/>
    <w:multiLevelType w:val="multilevel"/>
    <w:tmpl w:val="13C4C7C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5" w15:restartNumberingAfterBreak="0">
    <w:nsid w:val="5B145792"/>
    <w:multiLevelType w:val="multilevel"/>
    <w:tmpl w:val="6FD0017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6" w15:restartNumberingAfterBreak="0">
    <w:nsid w:val="5FB902FD"/>
    <w:multiLevelType w:val="multilevel"/>
    <w:tmpl w:val="8586DC8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7" w15:restartNumberingAfterBreak="0">
    <w:nsid w:val="619556D4"/>
    <w:multiLevelType w:val="multilevel"/>
    <w:tmpl w:val="98624D5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8" w15:restartNumberingAfterBreak="0">
    <w:nsid w:val="65606048"/>
    <w:multiLevelType w:val="multilevel"/>
    <w:tmpl w:val="EB28E8D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9" w15:restartNumberingAfterBreak="0">
    <w:nsid w:val="672C445B"/>
    <w:multiLevelType w:val="multilevel"/>
    <w:tmpl w:val="23AA740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0" w15:restartNumberingAfterBreak="0">
    <w:nsid w:val="75ED5E20"/>
    <w:multiLevelType w:val="multilevel"/>
    <w:tmpl w:val="6656900C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1" w15:restartNumberingAfterBreak="0">
    <w:nsid w:val="7784592A"/>
    <w:multiLevelType w:val="multilevel"/>
    <w:tmpl w:val="CA1086F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2" w15:restartNumberingAfterBreak="0">
    <w:nsid w:val="7F635893"/>
    <w:multiLevelType w:val="multilevel"/>
    <w:tmpl w:val="B144F6A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5"/>
  </w:num>
  <w:num w:numId="5">
    <w:abstractNumId w:val="12"/>
  </w:num>
  <w:num w:numId="6">
    <w:abstractNumId w:val="14"/>
  </w:num>
  <w:num w:numId="7">
    <w:abstractNumId w:val="17"/>
  </w:num>
  <w:num w:numId="8">
    <w:abstractNumId w:val="19"/>
  </w:num>
  <w:num w:numId="9">
    <w:abstractNumId w:val="6"/>
  </w:num>
  <w:num w:numId="10">
    <w:abstractNumId w:val="20"/>
  </w:num>
  <w:num w:numId="11">
    <w:abstractNumId w:val="15"/>
  </w:num>
  <w:num w:numId="12">
    <w:abstractNumId w:val="16"/>
  </w:num>
  <w:num w:numId="13">
    <w:abstractNumId w:val="13"/>
  </w:num>
  <w:num w:numId="14">
    <w:abstractNumId w:val="7"/>
  </w:num>
  <w:num w:numId="15">
    <w:abstractNumId w:val="1"/>
  </w:num>
  <w:num w:numId="16">
    <w:abstractNumId w:val="8"/>
  </w:num>
  <w:num w:numId="17">
    <w:abstractNumId w:val="10"/>
  </w:num>
  <w:num w:numId="18">
    <w:abstractNumId w:val="21"/>
  </w:num>
  <w:num w:numId="19">
    <w:abstractNumId w:val="4"/>
  </w:num>
  <w:num w:numId="20">
    <w:abstractNumId w:val="18"/>
  </w:num>
  <w:num w:numId="21">
    <w:abstractNumId w:val="22"/>
  </w:num>
  <w:num w:numId="22">
    <w:abstractNumId w:val="0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ADC"/>
    <w:rsid w:val="00012E04"/>
    <w:rsid w:val="004F2F50"/>
    <w:rsid w:val="00597ADC"/>
    <w:rsid w:val="006F19B3"/>
    <w:rsid w:val="00CF2CE7"/>
    <w:rsid w:val="00DC1A9E"/>
    <w:rsid w:val="00F213AE"/>
    <w:rsid w:val="00FC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A11C2"/>
  <w15:docId w15:val="{A21561F6-0AEB-4D14-98D0-E04B9AD5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2"/>
        <w:sz w:val="24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jc w:val="both"/>
    </w:pPr>
    <w:rPr>
      <w:rFonts w:ascii="Liberation Sans" w:eastAsia="Times New Roman" w:hAnsi="Liberation Sans" w:cs="Times New Roman"/>
      <w:sz w:val="20"/>
      <w:lang w:bidi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after="32"/>
      <w:outlineLvl w:val="0"/>
    </w:pPr>
    <w:rPr>
      <w:rFonts w:ascii="Liberation Serif" w:eastAsia="Liberation Serif" w:hAnsi="Liberation Serif" w:cs="Liberation Serif"/>
      <w:i/>
      <w:iCs/>
      <w:sz w:val="18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eastAsia="Liberation Sans" w:cs="Liberation Sans"/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qFormat/>
    <w:rPr>
      <w:rFonts w:ascii="Symbol" w:eastAsia="Symbol" w:hAnsi="Symbol" w:cs="Symbol"/>
    </w:rPr>
  </w:style>
  <w:style w:type="character" w:customStyle="1" w:styleId="WW8Num2z1">
    <w:name w:val="WW8Num2z1"/>
    <w:qFormat/>
    <w:rPr>
      <w:rFonts w:ascii="Courier New" w:eastAsia="Courier New" w:hAnsi="Courier New" w:cs="Courier New"/>
    </w:rPr>
  </w:style>
  <w:style w:type="character" w:customStyle="1" w:styleId="WW8Num2z2">
    <w:name w:val="WW8Num2z2"/>
    <w:qFormat/>
    <w:rPr>
      <w:rFonts w:ascii="Wingdings" w:eastAsia="Wingdings" w:hAnsi="Wingdings" w:cs="Wingdings"/>
    </w:rPr>
  </w:style>
  <w:style w:type="character" w:customStyle="1" w:styleId="WW-Policepardfaut">
    <w:name w:val="WW-Police par défaut"/>
    <w:qFormat/>
  </w:style>
  <w:style w:type="character" w:customStyle="1" w:styleId="LienInternet">
    <w:name w:val="Lien Internet"/>
    <w:basedOn w:val="WW-Policepardfaut"/>
    <w:rPr>
      <w:color w:val="0000FF"/>
      <w:u w:val="single"/>
    </w:rPr>
  </w:style>
  <w:style w:type="character" w:customStyle="1" w:styleId="Caractresdenumrotation">
    <w:name w:val="Caractères de numérotation"/>
    <w:qFormat/>
  </w:style>
  <w:style w:type="character" w:customStyle="1" w:styleId="Accentuationforte">
    <w:name w:val="Accentuation forte"/>
    <w:qFormat/>
    <w:rPr>
      <w:b/>
      <w:bCs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styleId="Marquedecommentaire">
    <w:name w:val="annotation reference"/>
    <w:basedOn w:val="Policepardfaut"/>
    <w:qFormat/>
    <w:rPr>
      <w:sz w:val="16"/>
      <w:szCs w:val="16"/>
    </w:rPr>
  </w:style>
  <w:style w:type="character" w:customStyle="1" w:styleId="CommentaireCar">
    <w:name w:val="Commentaire Car"/>
    <w:basedOn w:val="Policepardfaut"/>
    <w:qFormat/>
    <w:rPr>
      <w:sz w:val="20"/>
      <w:szCs w:val="18"/>
    </w:rPr>
  </w:style>
  <w:style w:type="character" w:customStyle="1" w:styleId="ObjetducommentaireCar">
    <w:name w:val="Objet du commentaire Car"/>
    <w:basedOn w:val="CommentaireCar"/>
    <w:qFormat/>
    <w:rPr>
      <w:b/>
      <w:bCs/>
      <w:sz w:val="20"/>
      <w:szCs w:val="18"/>
    </w:rPr>
  </w:style>
  <w:style w:type="character" w:customStyle="1" w:styleId="WWCharLFO1LVL1">
    <w:name w:val="WW_CharLFO1LVL1"/>
    <w:qFormat/>
    <w:rPr>
      <w:rFonts w:ascii="StarSymbol" w:hAnsi="StarSymbol"/>
    </w:rPr>
  </w:style>
  <w:style w:type="character" w:customStyle="1" w:styleId="WWCharLFO1LVL2">
    <w:name w:val="WW_CharLFO1LVL2"/>
    <w:qFormat/>
    <w:rPr>
      <w:rFonts w:ascii="StarSymbol" w:hAnsi="StarSymbol"/>
    </w:rPr>
  </w:style>
  <w:style w:type="character" w:customStyle="1" w:styleId="WWCharLFO1LVL3">
    <w:name w:val="WW_CharLFO1LVL3"/>
    <w:qFormat/>
    <w:rPr>
      <w:rFonts w:ascii="StarSymbol" w:hAnsi="StarSymbol"/>
    </w:rPr>
  </w:style>
  <w:style w:type="character" w:customStyle="1" w:styleId="WWCharLFO1LVL4">
    <w:name w:val="WW_CharLFO1LVL4"/>
    <w:qFormat/>
    <w:rPr>
      <w:rFonts w:ascii="StarSymbol" w:hAnsi="StarSymbol"/>
    </w:rPr>
  </w:style>
  <w:style w:type="character" w:customStyle="1" w:styleId="WWCharLFO1LVL5">
    <w:name w:val="WW_CharLFO1LVL5"/>
    <w:qFormat/>
    <w:rPr>
      <w:rFonts w:ascii="StarSymbol" w:hAnsi="StarSymbol"/>
    </w:rPr>
  </w:style>
  <w:style w:type="character" w:customStyle="1" w:styleId="WWCharLFO1LVL6">
    <w:name w:val="WW_CharLFO1LVL6"/>
    <w:qFormat/>
    <w:rPr>
      <w:rFonts w:ascii="StarSymbol" w:hAnsi="StarSymbol"/>
    </w:rPr>
  </w:style>
  <w:style w:type="character" w:customStyle="1" w:styleId="WWCharLFO1LVL7">
    <w:name w:val="WW_CharLFO1LVL7"/>
    <w:qFormat/>
    <w:rPr>
      <w:rFonts w:ascii="StarSymbol" w:hAnsi="StarSymbol"/>
    </w:rPr>
  </w:style>
  <w:style w:type="character" w:customStyle="1" w:styleId="WWCharLFO1LVL8">
    <w:name w:val="WW_CharLFO1LVL8"/>
    <w:qFormat/>
    <w:rPr>
      <w:rFonts w:ascii="StarSymbol" w:hAnsi="StarSymbol"/>
    </w:rPr>
  </w:style>
  <w:style w:type="character" w:customStyle="1" w:styleId="WWCharLFO1LVL9">
    <w:name w:val="WW_CharLFO1LVL9"/>
    <w:qFormat/>
    <w:rPr>
      <w:rFonts w:ascii="StarSymbol" w:hAnsi="StarSymbol"/>
    </w:rPr>
  </w:style>
  <w:style w:type="character" w:customStyle="1" w:styleId="WWCharLFO5LVL1">
    <w:name w:val="WW_CharLFO5LVL1"/>
    <w:qFormat/>
    <w:rPr>
      <w:rFonts w:ascii="Symbol" w:hAnsi="Symbol"/>
    </w:rPr>
  </w:style>
  <w:style w:type="character" w:customStyle="1" w:styleId="WWCharLFO5LVL2">
    <w:name w:val="WW_CharLFO5LVL2"/>
    <w:qFormat/>
    <w:rPr>
      <w:rFonts w:ascii="Courier New" w:hAnsi="Courier New"/>
    </w:rPr>
  </w:style>
  <w:style w:type="character" w:customStyle="1" w:styleId="WWCharLFO5LVL3">
    <w:name w:val="WW_CharLFO5LVL3"/>
    <w:qFormat/>
    <w:rPr>
      <w:rFonts w:ascii="Wingdings" w:hAnsi="Wingdings"/>
    </w:rPr>
  </w:style>
  <w:style w:type="character" w:customStyle="1" w:styleId="WWCharLFO5LVL4">
    <w:name w:val="WW_CharLFO5LVL4"/>
    <w:qFormat/>
    <w:rPr>
      <w:rFonts w:ascii="Symbol" w:hAnsi="Symbol"/>
    </w:rPr>
  </w:style>
  <w:style w:type="character" w:customStyle="1" w:styleId="WWCharLFO5LVL5">
    <w:name w:val="WW_CharLFO5LVL5"/>
    <w:qFormat/>
    <w:rPr>
      <w:rFonts w:ascii="Courier New" w:hAnsi="Courier New"/>
    </w:rPr>
  </w:style>
  <w:style w:type="character" w:customStyle="1" w:styleId="WWCharLFO5LVL6">
    <w:name w:val="WW_CharLFO5LVL6"/>
    <w:qFormat/>
    <w:rPr>
      <w:rFonts w:ascii="Wingdings" w:hAnsi="Wingdings"/>
    </w:rPr>
  </w:style>
  <w:style w:type="character" w:customStyle="1" w:styleId="WWCharLFO5LVL7">
    <w:name w:val="WW_CharLFO5LVL7"/>
    <w:qFormat/>
    <w:rPr>
      <w:rFonts w:ascii="Symbol" w:hAnsi="Symbol"/>
    </w:rPr>
  </w:style>
  <w:style w:type="character" w:customStyle="1" w:styleId="WWCharLFO5LVL8">
    <w:name w:val="WW_CharLFO5LVL8"/>
    <w:qFormat/>
    <w:rPr>
      <w:rFonts w:ascii="Courier New" w:hAnsi="Courier New"/>
    </w:rPr>
  </w:style>
  <w:style w:type="character" w:customStyle="1" w:styleId="WWCharLFO5LVL9">
    <w:name w:val="WW_CharLFO5LVL9"/>
    <w:qFormat/>
    <w:rPr>
      <w:rFonts w:ascii="Wingdings" w:hAnsi="Wingdings"/>
    </w:rPr>
  </w:style>
  <w:style w:type="character" w:customStyle="1" w:styleId="WWCharLFO6LVL1">
    <w:name w:val="WW_CharLFO6LVL1"/>
    <w:qFormat/>
    <w:rPr>
      <w:rFonts w:ascii="StarSymbol" w:eastAsia="OpenSymbol" w:hAnsi="StarSymbol" w:cs="OpenSymbol"/>
    </w:rPr>
  </w:style>
  <w:style w:type="character" w:customStyle="1" w:styleId="WWCharLFO7LVL1">
    <w:name w:val="WW_CharLFO7LVL1"/>
    <w:qFormat/>
    <w:rPr>
      <w:rFonts w:ascii="StarSymbol" w:eastAsia="OpenSymbol" w:hAnsi="StarSymbol" w:cs="OpenSymbol"/>
    </w:rPr>
  </w:style>
  <w:style w:type="character" w:customStyle="1" w:styleId="WWCharLFO8LVL1">
    <w:name w:val="WW_CharLFO8LVL1"/>
    <w:qFormat/>
    <w:rPr>
      <w:rFonts w:ascii="StarSymbol" w:eastAsia="OpenSymbol" w:hAnsi="StarSymbol" w:cs="OpenSymbol"/>
    </w:rPr>
  </w:style>
  <w:style w:type="character" w:customStyle="1" w:styleId="WWCharLFO9LVL1">
    <w:name w:val="WW_CharLFO9LVL1"/>
    <w:qFormat/>
    <w:rPr>
      <w:rFonts w:ascii="StarSymbol" w:eastAsia="OpenSymbol" w:hAnsi="StarSymbol" w:cs="OpenSymbol"/>
    </w:rPr>
  </w:style>
  <w:style w:type="character" w:customStyle="1" w:styleId="WWCharLFO10LVL1">
    <w:name w:val="WW_CharLFO10LVL1"/>
    <w:qFormat/>
    <w:rPr>
      <w:rFonts w:ascii="StarSymbol" w:eastAsia="OpenSymbol" w:hAnsi="StarSymbol" w:cs="OpenSymbol"/>
    </w:rPr>
  </w:style>
  <w:style w:type="character" w:customStyle="1" w:styleId="WWCharLFO11LVL1">
    <w:name w:val="WW_CharLFO11LVL1"/>
    <w:qFormat/>
    <w:rPr>
      <w:rFonts w:ascii="StarSymbol" w:eastAsia="OpenSymbol" w:hAnsi="StarSymbol" w:cs="OpenSymbol"/>
    </w:rPr>
  </w:style>
  <w:style w:type="character" w:customStyle="1" w:styleId="WWCharLFO12LVL1">
    <w:name w:val="WW_CharLFO12LVL1"/>
    <w:qFormat/>
    <w:rPr>
      <w:rFonts w:ascii="StarSymbol" w:eastAsia="OpenSymbol" w:hAnsi="StarSymbol" w:cs="OpenSymbol"/>
    </w:rPr>
  </w:style>
  <w:style w:type="character" w:customStyle="1" w:styleId="WWCharLFO13LVL1">
    <w:name w:val="WW_CharLFO13LVL1"/>
    <w:qFormat/>
    <w:rPr>
      <w:rFonts w:ascii="StarSymbol" w:eastAsia="OpenSymbol" w:hAnsi="StarSymbol" w:cs="OpenSymbol"/>
    </w:rPr>
  </w:style>
  <w:style w:type="character" w:customStyle="1" w:styleId="WWCharLFO14LVL1">
    <w:name w:val="WW_CharLFO14LVL1"/>
    <w:qFormat/>
    <w:rPr>
      <w:rFonts w:ascii="StarSymbol" w:eastAsia="OpenSymbol" w:hAnsi="StarSymbol" w:cs="OpenSymbol"/>
    </w:rPr>
  </w:style>
  <w:style w:type="character" w:customStyle="1" w:styleId="WWCharLFO15LVL1">
    <w:name w:val="WW_CharLFO15LVL1"/>
    <w:qFormat/>
    <w:rPr>
      <w:rFonts w:ascii="StarSymbol" w:eastAsia="OpenSymbol" w:hAnsi="StarSymbol" w:cs="OpenSymbol"/>
    </w:rPr>
  </w:style>
  <w:style w:type="character" w:customStyle="1" w:styleId="WWCharLFO16LVL1">
    <w:name w:val="WW_CharLFO16LVL1"/>
    <w:qFormat/>
    <w:rPr>
      <w:rFonts w:ascii="StarSymbol" w:eastAsia="OpenSymbol" w:hAnsi="StarSymbol" w:cs="OpenSymbol"/>
    </w:rPr>
  </w:style>
  <w:style w:type="character" w:customStyle="1" w:styleId="WWCharLFO17LVL1">
    <w:name w:val="WW_CharLFO17LVL1"/>
    <w:qFormat/>
    <w:rPr>
      <w:rFonts w:ascii="StarSymbol" w:eastAsia="OpenSymbol" w:hAnsi="StarSymbol" w:cs="OpenSymbol"/>
    </w:rPr>
  </w:style>
  <w:style w:type="character" w:customStyle="1" w:styleId="WWCharLFO18LVL1">
    <w:name w:val="WW_CharLFO18LVL1"/>
    <w:qFormat/>
    <w:rPr>
      <w:rFonts w:ascii="StarSymbol" w:eastAsia="OpenSymbol" w:hAnsi="StarSymbol" w:cs="OpenSymbol"/>
    </w:rPr>
  </w:style>
  <w:style w:type="character" w:customStyle="1" w:styleId="WWCharLFO19LVL1">
    <w:name w:val="WW_CharLFO19LVL1"/>
    <w:qFormat/>
    <w:rPr>
      <w:rFonts w:ascii="StarSymbol" w:eastAsia="OpenSymbol" w:hAnsi="StarSymbol" w:cs="OpenSymbol"/>
    </w:rPr>
  </w:style>
  <w:style w:type="character" w:customStyle="1" w:styleId="WWCharLFO20LVL1">
    <w:name w:val="WW_CharLFO20LVL1"/>
    <w:qFormat/>
    <w:rPr>
      <w:rFonts w:ascii="StarSymbol" w:eastAsia="OpenSymbol" w:hAnsi="StarSymbol" w:cs="OpenSymbol"/>
    </w:rPr>
  </w:style>
  <w:style w:type="character" w:customStyle="1" w:styleId="WWCharLFO21LVL1">
    <w:name w:val="WW_CharLFO21LVL1"/>
    <w:qFormat/>
    <w:rPr>
      <w:rFonts w:ascii="StarSymbol" w:eastAsia="OpenSymbol" w:hAnsi="StarSymbol" w:cs="OpenSymbol"/>
    </w:rPr>
  </w:style>
  <w:style w:type="character" w:customStyle="1" w:styleId="WWCharLFO22LVL1">
    <w:name w:val="WW_CharLFO22LVL1"/>
    <w:qFormat/>
    <w:rPr>
      <w:rFonts w:ascii="StarSymbol" w:eastAsia="OpenSymbol" w:hAnsi="StarSymbol" w:cs="OpenSymbol"/>
    </w:rPr>
  </w:style>
  <w:style w:type="character" w:customStyle="1" w:styleId="WWCharLFO23LVL1">
    <w:name w:val="WW_CharLFO23LVL1"/>
    <w:qFormat/>
    <w:rPr>
      <w:rFonts w:ascii="StarSymbol" w:eastAsia="OpenSymbol" w:hAnsi="StarSymbol" w:cs="OpenSymbol"/>
    </w:rPr>
  </w:style>
  <w:style w:type="character" w:customStyle="1" w:styleId="WWCharLFO24LVL1">
    <w:name w:val="WW_CharLFO24LVL1"/>
    <w:qFormat/>
    <w:rPr>
      <w:rFonts w:ascii="StarSymbol" w:eastAsia="OpenSymbol" w:hAnsi="StarSymbol" w:cs="OpenSymbol"/>
    </w:rPr>
  </w:style>
  <w:style w:type="character" w:customStyle="1" w:styleId="WWCharLFO25LVL1">
    <w:name w:val="WW_CharLFO25LVL1"/>
    <w:qFormat/>
    <w:rPr>
      <w:rFonts w:ascii="StarSymbol" w:eastAsia="OpenSymbol" w:hAnsi="StarSymbol" w:cs="OpenSymbol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shd w:val="clear" w:color="auto" w:fill="FFFFFF"/>
      <w:jc w:val="center"/>
    </w:pPr>
    <w:rPr>
      <w:caps/>
      <w:sz w:val="22"/>
    </w:rPr>
  </w:style>
  <w:style w:type="paragraph" w:customStyle="1" w:styleId="LO-Normal">
    <w:name w:val="LO-Normal"/>
    <w:qFormat/>
    <w:pPr>
      <w:widowControl w:val="0"/>
      <w:suppressAutoHyphens/>
    </w:p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Sous-titre">
    <w:name w:val="Subtitle"/>
    <w:basedOn w:val="Titre"/>
    <w:next w:val="Corpsdetexte"/>
    <w:qFormat/>
    <w:pPr>
      <w:jc w:val="center"/>
    </w:pPr>
    <w:rPr>
      <w:i/>
      <w:iCs/>
    </w:rPr>
  </w:style>
  <w:style w:type="paragraph" w:styleId="NormalWeb">
    <w:name w:val="Normal (Web)"/>
    <w:basedOn w:val="Normal"/>
    <w:qFormat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ascii="Arial" w:eastAsia="Arial" w:hAnsi="Arial" w:cs="Arial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Corpsdetexte2">
    <w:name w:val="Body Text 2"/>
    <w:basedOn w:val="Normal"/>
    <w:qFormat/>
    <w:pPr>
      <w:jc w:val="center"/>
    </w:pPr>
    <w:rPr>
      <w:sz w:val="22"/>
    </w:rPr>
  </w:style>
  <w:style w:type="paragraph" w:customStyle="1" w:styleId="m-BlocEmetteur">
    <w:name w:val="m-BlocEmetteur"/>
    <w:basedOn w:val="Normal"/>
    <w:qFormat/>
    <w:rPr>
      <w:rFonts w:ascii="Arial" w:eastAsia="Arial" w:hAnsi="Arial" w:cs="Arial"/>
      <w:i/>
    </w:rPr>
  </w:style>
  <w:style w:type="paragraph" w:customStyle="1" w:styleId="m-BlocEmetteur2">
    <w:name w:val="m-BlocEmetteur2"/>
    <w:basedOn w:val="m-BlocEmetteur"/>
    <w:qFormat/>
    <w:pPr>
      <w:spacing w:after="91"/>
    </w:pPr>
  </w:style>
  <w:style w:type="paragraph" w:customStyle="1" w:styleId="m-BlocReference">
    <w:name w:val="m-BlocReference"/>
    <w:basedOn w:val="Normal"/>
    <w:qFormat/>
    <w:rPr>
      <w:rFonts w:eastAsia="Arial Unicode MS"/>
      <w:sz w:val="16"/>
    </w:rPr>
  </w:style>
  <w:style w:type="paragraph" w:customStyle="1" w:styleId="m-listeNumerique">
    <w:name w:val="m-listeNumerique"/>
    <w:basedOn w:val="Normal"/>
    <w:qFormat/>
    <w:pPr>
      <w:numPr>
        <w:numId w:val="3"/>
      </w:numPr>
    </w:pPr>
    <w:rPr>
      <w:rFonts w:ascii="Arial" w:eastAsia="Arial" w:hAnsi="Arial" w:cs="Arial"/>
    </w:rPr>
  </w:style>
  <w:style w:type="paragraph" w:customStyle="1" w:styleId="m-Objet">
    <w:name w:val="m-Objet"/>
    <w:basedOn w:val="Normal"/>
    <w:next w:val="m-TextePieceJointe"/>
    <w:qFormat/>
    <w:pPr>
      <w:spacing w:before="283"/>
      <w:ind w:left="1417"/>
      <w:jc w:val="left"/>
    </w:pPr>
    <w:rPr>
      <w:rFonts w:ascii="Arial" w:eastAsia="Arial" w:hAnsi="Arial" w:cs="Arial"/>
    </w:rPr>
  </w:style>
  <w:style w:type="paragraph" w:customStyle="1" w:styleId="NormalWord">
    <w:name w:val="NormalWord"/>
    <w:qFormat/>
    <w:pPr>
      <w:suppressAutoHyphens/>
    </w:pPr>
    <w:rPr>
      <w:rFonts w:ascii="Times New Roman" w:eastAsia="Arial" w:hAnsi="Times New Roman" w:cs="Times New Roman"/>
      <w:szCs w:val="20"/>
      <w:lang w:bidi="ar-SA"/>
    </w:rPr>
  </w:style>
  <w:style w:type="paragraph" w:customStyle="1" w:styleId="m-BlocDate">
    <w:name w:val="m-BlocDate"/>
    <w:basedOn w:val="Normal"/>
    <w:qFormat/>
    <w:pPr>
      <w:ind w:left="692"/>
    </w:pPr>
    <w:rPr>
      <w:rFonts w:ascii="Arial" w:eastAsia="Arial" w:hAnsi="Arial" w:cs="Arial"/>
    </w:rPr>
  </w:style>
  <w:style w:type="paragraph" w:customStyle="1" w:styleId="m-BlocEntete">
    <w:name w:val="m-BlocEntete"/>
    <w:basedOn w:val="Normal"/>
    <w:qFormat/>
    <w:pPr>
      <w:jc w:val="left"/>
    </w:pPr>
    <w:rPr>
      <w:rFonts w:ascii="Arial" w:eastAsia="Arial" w:hAnsi="Arial" w:cs="Arial"/>
      <w:i/>
    </w:rPr>
  </w:style>
  <w:style w:type="paragraph" w:customStyle="1" w:styleId="m-BlocDestinataire">
    <w:name w:val="m-BlocDestinataire"/>
    <w:basedOn w:val="Normal"/>
    <w:qFormat/>
    <w:pPr>
      <w:ind w:left="692"/>
    </w:pPr>
    <w:rPr>
      <w:rFonts w:ascii="Arial" w:eastAsia="Arial" w:hAnsi="Arial" w:cs="Arial"/>
    </w:rPr>
  </w:style>
  <w:style w:type="paragraph" w:customStyle="1" w:styleId="m-BlocTitre">
    <w:name w:val="m-BlocTitre"/>
    <w:basedOn w:val="Normal"/>
    <w:qFormat/>
    <w:pPr>
      <w:ind w:right="567"/>
      <w:jc w:val="right"/>
    </w:pPr>
    <w:rPr>
      <w:rFonts w:ascii="Arial" w:eastAsia="Arial" w:hAnsi="Arial" w:cs="Arial"/>
      <w:b/>
      <w:color w:val="4C4C4C"/>
      <w:sz w:val="24"/>
    </w:rPr>
  </w:style>
  <w:style w:type="paragraph" w:customStyle="1" w:styleId="m-InterTitre1">
    <w:name w:val="m-InterTitre1"/>
    <w:basedOn w:val="Normal"/>
    <w:next w:val="Normal"/>
    <w:qFormat/>
    <w:pPr>
      <w:jc w:val="left"/>
    </w:pPr>
    <w:rPr>
      <w:rFonts w:ascii="Arial" w:eastAsia="Arial" w:hAnsi="Arial" w:cs="Arial"/>
      <w:b/>
      <w:sz w:val="24"/>
      <w:u w:val="single"/>
    </w:rPr>
  </w:style>
  <w:style w:type="paragraph" w:customStyle="1" w:styleId="m-InterTitre2">
    <w:name w:val="m-InterTitre2"/>
    <w:basedOn w:val="Normal"/>
    <w:next w:val="Normal"/>
    <w:qFormat/>
    <w:pPr>
      <w:jc w:val="left"/>
    </w:pPr>
    <w:rPr>
      <w:rFonts w:ascii="Arial" w:eastAsia="Arial" w:hAnsi="Arial" w:cs="Arial"/>
      <w:i/>
      <w:sz w:val="22"/>
    </w:rPr>
  </w:style>
  <w:style w:type="paragraph" w:customStyle="1" w:styleId="m-BlocSignature">
    <w:name w:val="m-BlocSignature"/>
    <w:basedOn w:val="Normal"/>
    <w:qFormat/>
    <w:pPr>
      <w:spacing w:after="840"/>
      <w:jc w:val="center"/>
    </w:pPr>
  </w:style>
  <w:style w:type="paragraph" w:customStyle="1" w:styleId="m-listePuce">
    <w:name w:val="m-listePuce"/>
    <w:basedOn w:val="Normal"/>
    <w:qFormat/>
    <w:pPr>
      <w:numPr>
        <w:numId w:val="2"/>
      </w:numPr>
    </w:pPr>
    <w:rPr>
      <w:rFonts w:ascii="Arial" w:eastAsia="Arial" w:hAnsi="Arial" w:cs="Arial"/>
    </w:rPr>
  </w:style>
  <w:style w:type="paragraph" w:customStyle="1" w:styleId="m-signature">
    <w:name w:val="m-signature"/>
    <w:basedOn w:val="Normal"/>
    <w:qFormat/>
    <w:pPr>
      <w:keepNext/>
      <w:keepLines/>
      <w:widowControl w:val="0"/>
      <w:spacing w:after="500"/>
      <w:ind w:right="567"/>
      <w:jc w:val="right"/>
    </w:pPr>
    <w:rPr>
      <w:rFonts w:ascii="Arial" w:eastAsia="Arial" w:hAnsi="Arial" w:cs="Arial"/>
      <w:szCs w:val="20"/>
    </w:rPr>
  </w:style>
  <w:style w:type="paragraph" w:customStyle="1" w:styleId="m-horaires">
    <w:name w:val="m-horaires"/>
    <w:basedOn w:val="Normal"/>
    <w:qFormat/>
    <w:pPr>
      <w:jc w:val="right"/>
    </w:pPr>
    <w:rPr>
      <w:sz w:val="16"/>
    </w:rPr>
  </w:style>
  <w:style w:type="paragraph" w:customStyle="1" w:styleId="m-adresse">
    <w:name w:val="m-adresse"/>
    <w:basedOn w:val="Normal"/>
    <w:qFormat/>
    <w:rPr>
      <w:rFonts w:ascii="Arial" w:eastAsia="Arial" w:hAnsi="Arial" w:cs="Arial"/>
      <w:sz w:val="14"/>
    </w:rPr>
  </w:style>
  <w:style w:type="paragraph" w:customStyle="1" w:styleId="m-siteweb">
    <w:name w:val="m-site web"/>
    <w:basedOn w:val="Normal"/>
    <w:qFormat/>
    <w:rPr>
      <w:rFonts w:ascii="Arial" w:eastAsia="Arial" w:hAnsi="Arial" w:cs="Arial"/>
      <w:i/>
      <w:sz w:val="14"/>
    </w:rPr>
  </w:style>
  <w:style w:type="paragraph" w:customStyle="1" w:styleId="m-TextePieceJointe">
    <w:name w:val="m-TextePieceJointe"/>
    <w:basedOn w:val="m-Objet"/>
    <w:qFormat/>
    <w:pPr>
      <w:spacing w:before="0"/>
    </w:pPr>
  </w:style>
  <w:style w:type="paragraph" w:customStyle="1" w:styleId="m-corpstexte">
    <w:name w:val="m-corps texte"/>
    <w:basedOn w:val="Normal"/>
    <w:qFormat/>
    <w:pPr>
      <w:spacing w:after="261"/>
    </w:pPr>
    <w:rPr>
      <w:rFonts w:ascii="Arial" w:eastAsia="Arial" w:hAnsi="Arial" w:cs="Arial"/>
    </w:rPr>
  </w:style>
  <w:style w:type="paragraph" w:customStyle="1" w:styleId="Contenudetableau">
    <w:name w:val="Contenu de tableau"/>
    <w:basedOn w:val="Corpsdetexte"/>
    <w:qFormat/>
    <w:pPr>
      <w:suppressLineNumbers/>
    </w:pPr>
  </w:style>
  <w:style w:type="paragraph" w:customStyle="1" w:styleId="Contenudecadre">
    <w:name w:val="Contenu de cadre"/>
    <w:basedOn w:val="Corpsdetexte"/>
    <w:qFormat/>
  </w:style>
  <w:style w:type="paragraph" w:customStyle="1" w:styleId="Titredetableau">
    <w:name w:val="Titre de tableau"/>
    <w:basedOn w:val="Contenudetableau"/>
    <w:qFormat/>
    <w:rPr>
      <w:b/>
      <w:bCs/>
    </w:rPr>
  </w:style>
  <w:style w:type="paragraph" w:customStyle="1" w:styleId="m-CopieA">
    <w:name w:val="m-CopieA"/>
    <w:basedOn w:val="Normal"/>
    <w:next w:val="m-CopieA2"/>
    <w:qFormat/>
    <w:pPr>
      <w:spacing w:before="850" w:line="260" w:lineRule="exact"/>
      <w:jc w:val="left"/>
    </w:pPr>
    <w:rPr>
      <w:rFonts w:ascii="Arial" w:eastAsia="Arial" w:hAnsi="Arial" w:cs="Arial"/>
    </w:rPr>
  </w:style>
  <w:style w:type="paragraph" w:customStyle="1" w:styleId="m-CopieA2">
    <w:name w:val="m-CopieA2"/>
    <w:basedOn w:val="Normal"/>
    <w:qFormat/>
    <w:pPr>
      <w:spacing w:line="260" w:lineRule="exact"/>
      <w:ind w:left="820"/>
      <w:jc w:val="left"/>
    </w:pPr>
    <w:rPr>
      <w:rFonts w:ascii="Arial" w:eastAsia="Arial" w:hAnsi="Arial" w:cs="Arial"/>
    </w:rPr>
  </w:style>
  <w:style w:type="paragraph" w:customStyle="1" w:styleId="mcontenudetableau">
    <w:name w:val="m_contenudetableau"/>
    <w:basedOn w:val="Contenudetableau"/>
    <w:qFormat/>
    <w:rPr>
      <w:sz w:val="20"/>
    </w:rPr>
  </w:style>
  <w:style w:type="paragraph" w:customStyle="1" w:styleId="m-observation">
    <w:name w:val="m-observation"/>
    <w:basedOn w:val="Normal"/>
    <w:qFormat/>
    <w:pPr>
      <w:spacing w:after="261"/>
    </w:pPr>
    <w:rPr>
      <w:b/>
      <w:bCs/>
    </w:rPr>
  </w:style>
  <w:style w:type="paragraph" w:customStyle="1" w:styleId="m-blocBordereauEntete">
    <w:name w:val="m-blocBordereauEntete"/>
    <w:basedOn w:val="Normal"/>
    <w:qFormat/>
  </w:style>
  <w:style w:type="paragraph" w:customStyle="1" w:styleId="m-blocBordereauTitre">
    <w:name w:val="m-blocBordereauTitre"/>
    <w:basedOn w:val="Normal"/>
    <w:qFormat/>
    <w:rPr>
      <w:sz w:val="70"/>
    </w:rPr>
  </w:style>
  <w:style w:type="paragraph" w:customStyle="1" w:styleId="m-adressePied">
    <w:name w:val="m-adressePied"/>
    <w:basedOn w:val="Normal"/>
    <w:qFormat/>
    <w:pPr>
      <w:jc w:val="right"/>
    </w:pPr>
    <w:rPr>
      <w:sz w:val="14"/>
    </w:rPr>
  </w:style>
  <w:style w:type="paragraph" w:customStyle="1" w:styleId="m-TextePieceJointe2">
    <w:name w:val="m-TextePieceJointe2"/>
    <w:basedOn w:val="m-TextePieceJointe"/>
    <w:qFormat/>
    <w:pPr>
      <w:ind w:left="2302"/>
    </w:pPr>
  </w:style>
  <w:style w:type="paragraph" w:styleId="Commentaire">
    <w:name w:val="annotation text"/>
    <w:basedOn w:val="LO-Normal"/>
    <w:qFormat/>
    <w:rPr>
      <w:sz w:val="20"/>
      <w:szCs w:val="18"/>
    </w:rPr>
  </w:style>
  <w:style w:type="paragraph" w:styleId="Objetducommentaire">
    <w:name w:val="annotation subject"/>
    <w:basedOn w:val="Commentaire"/>
    <w:next w:val="Commentaire"/>
    <w:qFormat/>
    <w:rPr>
      <w:b/>
      <w:bCs/>
    </w:rPr>
  </w:style>
  <w:style w:type="numbering" w:customStyle="1" w:styleId="Puce">
    <w:name w:val="Puce •"/>
    <w:qFormat/>
  </w:style>
  <w:style w:type="numbering" w:customStyle="1" w:styleId="Numbering1">
    <w:name w:val="Numbering 1"/>
    <w:qFormat/>
  </w:style>
  <w:style w:type="numbering" w:customStyle="1" w:styleId="Numbering2">
    <w:name w:val="Numbering 2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012E0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2E04"/>
    <w:rPr>
      <w:rFonts w:ascii="Segoe UI" w:eastAsia="Times New Roman" w:hAnsi="Segoe UI" w:cs="Segoe UI"/>
      <w:sz w:val="18"/>
      <w:szCs w:val="18"/>
      <w:lang w:bidi="ar-SA"/>
    </w:rPr>
  </w:style>
  <w:style w:type="character" w:customStyle="1" w:styleId="ServiceCar">
    <w:name w:val="Service Car"/>
    <w:basedOn w:val="Policepardfaut"/>
    <w:link w:val="Service"/>
    <w:locked/>
    <w:rsid w:val="00CF2CE7"/>
    <w:rPr>
      <w:rFonts w:ascii="Marianne" w:eastAsia="Arial" w:hAnsi="Marianne" w:cstheme="minorBidi"/>
      <w:i/>
      <w:lang w:eastAsia="fr-FR"/>
    </w:rPr>
  </w:style>
  <w:style w:type="paragraph" w:customStyle="1" w:styleId="Service">
    <w:name w:val="Service"/>
    <w:basedOn w:val="Normal"/>
    <w:link w:val="ServiceCar"/>
    <w:qFormat/>
    <w:rsid w:val="00CF2CE7"/>
    <w:pPr>
      <w:suppressAutoHyphens w:val="0"/>
      <w:spacing w:before="20" w:after="20" w:line="260" w:lineRule="atLeast"/>
      <w:jc w:val="left"/>
    </w:pPr>
    <w:rPr>
      <w:rFonts w:ascii="Marianne" w:eastAsia="Arial" w:hAnsi="Marianne" w:cstheme="minorBidi"/>
      <w:i/>
      <w:sz w:val="24"/>
      <w:lang w:eastAsia="fr-FR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633</Words>
  <Characters>3487</Characters>
  <Application>Microsoft Office Word</Application>
  <DocSecurity>4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Note adm SET_Rédacteur Sellier juin 2020</vt:lpstr>
    </vt:vector>
  </TitlesOfParts>
  <Company>MTES\MCTRCT - AC</Company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 adm SET_Rédacteur Sellier juin 2020</dc:title>
  <dc:subject/>
  <dc:creator>HAURET Bruno</dc:creator>
  <dc:description/>
  <cp:lastModifiedBy>GUCEK THERON Anne</cp:lastModifiedBy>
  <cp:revision>2</cp:revision>
  <dcterms:created xsi:type="dcterms:W3CDTF">2025-05-16T12:49:00Z</dcterms:created>
  <dcterms:modified xsi:type="dcterms:W3CDTF">2025-05-16T12:49:00Z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odèles - Commande MOA">
    <vt:lpwstr>SG/DICOM/DECI</vt:lpwstr>
  </property>
  <property fmtid="{D5CDD505-2E9C-101B-9397-08002B2CF9AE}" pid="3" name="Modèles - Nom du modèle ">
    <vt:lpwstr>MTES_MCTRCT_AC_Lettre_administrative</vt:lpwstr>
  </property>
  <property fmtid="{D5CDD505-2E9C-101B-9397-08002B2CF9AE}" pid="4" name="Modèles - Production modèle">
    <vt:lpwstr>UNI/DETN/GPBCW/PPB</vt:lpwstr>
  </property>
  <property fmtid="{D5CDD505-2E9C-101B-9397-08002B2CF9AE}" pid="5" name="Modèles - Version de réalisation ">
    <vt:lpwstr>Libo 6.0</vt:lpwstr>
  </property>
</Properties>
</file>